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10"/>
      </w:tblGrid>
      <w:tr w:rsidR="007B23FC" w14:paraId="39FBB6C9" w14:textId="77777777" w:rsidTr="009E22B0">
        <w:tc>
          <w:tcPr>
            <w:tcW w:w="8510" w:type="dxa"/>
          </w:tcPr>
          <w:p w14:paraId="3323CE26" w14:textId="77777777" w:rsidR="007B23FC" w:rsidRDefault="002774F4"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1" layoutInCell="1" allowOverlap="1" wp14:anchorId="026A509D" wp14:editId="6361F542">
                  <wp:simplePos x="0" y="0"/>
                  <wp:positionH relativeFrom="column">
                    <wp:posOffset>-15240</wp:posOffset>
                  </wp:positionH>
                  <wp:positionV relativeFrom="page">
                    <wp:posOffset>419100</wp:posOffset>
                  </wp:positionV>
                  <wp:extent cx="5406390" cy="869315"/>
                  <wp:effectExtent l="0" t="0" r="3810" b="6985"/>
                  <wp:wrapNone/>
                  <wp:docPr id="9" name="Picture 3" descr="Blac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etterhead"/>
                          <pic:cNvPicPr>
                            <a:picLocks noChangeAspect="1" noChangeArrowheads="1"/>
                          </pic:cNvPicPr>
                        </pic:nvPicPr>
                        <pic:blipFill>
                          <a:blip r:embed="rId13">
                            <a:extLst>
                              <a:ext uri="{28A0092B-C50C-407E-A947-70E740481C1C}">
                                <a14:useLocalDpi xmlns:a14="http://schemas.microsoft.com/office/drawing/2010/main" val="0"/>
                              </a:ext>
                            </a:extLst>
                          </a:blip>
                          <a:srcRect l="29193"/>
                          <a:stretch>
                            <a:fillRect/>
                          </a:stretch>
                        </pic:blipFill>
                        <pic:spPr bwMode="auto">
                          <a:xfrm>
                            <a:off x="0" y="0"/>
                            <a:ext cx="540639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FC">
              <w:rPr>
                <w:rFonts w:ascii="Arial Black" w:hAnsi="Arial Black"/>
                <w:color w:val="999999"/>
                <w:sz w:val="36"/>
                <w:szCs w:val="36"/>
              </w:rPr>
              <w:t xml:space="preserve">     </w:t>
            </w:r>
          </w:p>
          <w:p w14:paraId="7FA85C3F" w14:textId="77777777" w:rsidR="003728EE" w:rsidRDefault="003728EE" w:rsidP="00A53B04">
            <w:pPr>
              <w:pStyle w:val="Infotext"/>
              <w:rPr>
                <w:rFonts w:ascii="Arial Black" w:hAnsi="Arial Black"/>
                <w:color w:val="999999"/>
                <w:sz w:val="36"/>
                <w:szCs w:val="36"/>
              </w:rPr>
            </w:pPr>
          </w:p>
          <w:p w14:paraId="78E7D1EC" w14:textId="77777777" w:rsidR="007B23FC" w:rsidRDefault="007B23FC" w:rsidP="00A53B04">
            <w:pPr>
              <w:pStyle w:val="Infotext"/>
              <w:rPr>
                <w:rFonts w:ascii="Arial Black" w:hAnsi="Arial Black"/>
                <w:color w:val="999999"/>
                <w:sz w:val="36"/>
                <w:szCs w:val="36"/>
              </w:rPr>
            </w:pPr>
          </w:p>
          <w:p w14:paraId="706D404B" w14:textId="77777777" w:rsidR="007B23FC" w:rsidRDefault="007B23FC" w:rsidP="00A53B04">
            <w:pPr>
              <w:pStyle w:val="Infotext"/>
              <w:rPr>
                <w:rFonts w:ascii="Arial Black" w:hAnsi="Arial Black"/>
                <w:color w:val="999999"/>
                <w:sz w:val="36"/>
                <w:szCs w:val="36"/>
              </w:rPr>
            </w:pPr>
          </w:p>
          <w:p w14:paraId="2A487D4D" w14:textId="77777777" w:rsidR="007B23FC" w:rsidRPr="007B23FC" w:rsidRDefault="007B23FC" w:rsidP="00A53B04">
            <w:pPr>
              <w:rPr>
                <w:rFonts w:ascii="Arial Black" w:hAnsi="Arial Black" w:cs="Arial"/>
                <w:szCs w:val="36"/>
              </w:rPr>
            </w:pPr>
          </w:p>
        </w:tc>
      </w:tr>
      <w:tr w:rsidR="003728EE" w14:paraId="7D105054" w14:textId="77777777" w:rsidTr="00421A4C">
        <w:tc>
          <w:tcPr>
            <w:tcW w:w="8510" w:type="dxa"/>
            <w:tcBorders>
              <w:bottom w:val="single" w:sz="18" w:space="0" w:color="auto"/>
            </w:tcBorders>
          </w:tcPr>
          <w:p w14:paraId="089FFF43" w14:textId="77777777" w:rsidR="003728EE" w:rsidRDefault="003728EE" w:rsidP="00A53B04">
            <w:pPr>
              <w:pStyle w:val="Infotext"/>
              <w:rPr>
                <w:rFonts w:ascii="Arial Black" w:hAnsi="Arial Black"/>
                <w:noProof/>
                <w:color w:val="999999"/>
                <w:sz w:val="36"/>
                <w:szCs w:val="36"/>
                <w:lang w:eastAsia="en-GB"/>
              </w:rPr>
            </w:pPr>
          </w:p>
        </w:tc>
      </w:tr>
    </w:tbl>
    <w:p w14:paraId="75E6A00C" w14:textId="77777777" w:rsidR="004076C8" w:rsidRPr="0036201C" w:rsidRDefault="004076C8"/>
    <w:tbl>
      <w:tblPr>
        <w:tblW w:w="8396" w:type="dxa"/>
        <w:tblLayout w:type="fixed"/>
        <w:tblLook w:val="0000" w:firstRow="0" w:lastRow="0" w:firstColumn="0" w:lastColumn="0" w:noHBand="0" w:noVBand="0"/>
      </w:tblPr>
      <w:tblGrid>
        <w:gridCol w:w="3463"/>
        <w:gridCol w:w="4765"/>
        <w:gridCol w:w="168"/>
      </w:tblGrid>
      <w:tr w:rsidR="00333FAA" w14:paraId="47227AE1" w14:textId="77777777" w:rsidTr="000A3C5C">
        <w:trPr>
          <w:trHeight w:val="174"/>
        </w:trPr>
        <w:tc>
          <w:tcPr>
            <w:tcW w:w="3463" w:type="dxa"/>
            <w:tcBorders>
              <w:bottom w:val="single" w:sz="18" w:space="0" w:color="auto"/>
            </w:tcBorders>
          </w:tcPr>
          <w:p w14:paraId="2B96DE07"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55D07B26" w14:textId="77777777" w:rsidR="00333FAA" w:rsidRPr="00B805DB" w:rsidRDefault="00333FAA" w:rsidP="00A53B04">
            <w:pPr>
              <w:pStyle w:val="Infotext"/>
              <w:rPr>
                <w:rFonts w:ascii="Arial Black" w:hAnsi="Arial Black" w:cs="Arial"/>
                <w:sz w:val="36"/>
                <w:szCs w:val="36"/>
              </w:rPr>
            </w:pPr>
          </w:p>
        </w:tc>
        <w:tc>
          <w:tcPr>
            <w:tcW w:w="4933" w:type="dxa"/>
            <w:gridSpan w:val="2"/>
            <w:tcBorders>
              <w:bottom w:val="single" w:sz="18" w:space="0" w:color="auto"/>
            </w:tcBorders>
          </w:tcPr>
          <w:p w14:paraId="3A113B05"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4211FCF8" w14:textId="77777777" w:rsidR="00333FAA" w:rsidRPr="005E3A10" w:rsidRDefault="00333FAA" w:rsidP="00A53B04">
            <w:pPr>
              <w:rPr>
                <w:rFonts w:ascii="Arial Black" w:hAnsi="Arial Black" w:cs="Arial"/>
                <w:szCs w:val="24"/>
              </w:rPr>
            </w:pPr>
          </w:p>
        </w:tc>
      </w:tr>
      <w:tr w:rsidR="00333FAA" w14:paraId="2541488F" w14:textId="77777777" w:rsidTr="000A3C5C">
        <w:trPr>
          <w:trHeight w:val="174"/>
        </w:trPr>
        <w:tc>
          <w:tcPr>
            <w:tcW w:w="3463" w:type="dxa"/>
            <w:tcBorders>
              <w:top w:val="single" w:sz="18" w:space="0" w:color="auto"/>
            </w:tcBorders>
          </w:tcPr>
          <w:p w14:paraId="10D0D9D7"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3741C740" w14:textId="77777777" w:rsidR="00333FAA" w:rsidRPr="00C13A5F" w:rsidRDefault="00333FAA" w:rsidP="00A53B04">
            <w:pPr>
              <w:pStyle w:val="Infotext"/>
              <w:rPr>
                <w:rFonts w:ascii="Arial Black" w:hAnsi="Arial Black" w:cs="Arial"/>
              </w:rPr>
            </w:pPr>
          </w:p>
        </w:tc>
        <w:tc>
          <w:tcPr>
            <w:tcW w:w="4933" w:type="dxa"/>
            <w:gridSpan w:val="2"/>
            <w:tcBorders>
              <w:top w:val="single" w:sz="18" w:space="0" w:color="auto"/>
            </w:tcBorders>
          </w:tcPr>
          <w:p w14:paraId="7185BA4A" w14:textId="64D714F8" w:rsidR="00333FAA" w:rsidRDefault="0072161F" w:rsidP="00DD3A49">
            <w:pPr>
              <w:rPr>
                <w:rFonts w:cs="Arial"/>
              </w:rPr>
            </w:pPr>
            <w:r>
              <w:rPr>
                <w:rFonts w:cs="Arial"/>
              </w:rPr>
              <w:t>15</w:t>
            </w:r>
            <w:r w:rsidR="00FF509C" w:rsidRPr="006B1DE1">
              <w:rPr>
                <w:rFonts w:cs="Arial"/>
              </w:rPr>
              <w:t xml:space="preserve"> </w:t>
            </w:r>
            <w:r w:rsidR="00E42E3D">
              <w:rPr>
                <w:rFonts w:cs="Arial"/>
              </w:rPr>
              <w:t>February</w:t>
            </w:r>
            <w:r w:rsidR="00C61CE7">
              <w:rPr>
                <w:rFonts w:cs="Arial"/>
              </w:rPr>
              <w:t xml:space="preserve"> 201</w:t>
            </w:r>
            <w:r>
              <w:rPr>
                <w:rFonts w:cs="Arial"/>
              </w:rPr>
              <w:t>8</w:t>
            </w:r>
          </w:p>
          <w:p w14:paraId="32489322" w14:textId="77777777" w:rsidR="00DD3A49" w:rsidRPr="005E3A10" w:rsidRDefault="00DD3A49" w:rsidP="00DD3A49">
            <w:pPr>
              <w:rPr>
                <w:rFonts w:cs="Arial"/>
                <w:szCs w:val="24"/>
              </w:rPr>
            </w:pPr>
          </w:p>
        </w:tc>
      </w:tr>
      <w:tr w:rsidR="00333FAA" w14:paraId="6CB612C8" w14:textId="77777777" w:rsidTr="000A3C5C">
        <w:trPr>
          <w:trHeight w:val="174"/>
        </w:trPr>
        <w:tc>
          <w:tcPr>
            <w:tcW w:w="3463" w:type="dxa"/>
          </w:tcPr>
          <w:p w14:paraId="54895B2F"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347BED9F" w14:textId="77777777" w:rsidR="00333FAA" w:rsidRPr="00C13A5F" w:rsidRDefault="00333FAA" w:rsidP="00A53B04">
            <w:pPr>
              <w:pStyle w:val="Infotext"/>
              <w:rPr>
                <w:rFonts w:ascii="Arial Black" w:hAnsi="Arial Black"/>
              </w:rPr>
            </w:pPr>
          </w:p>
        </w:tc>
        <w:tc>
          <w:tcPr>
            <w:tcW w:w="4933" w:type="dxa"/>
            <w:gridSpan w:val="2"/>
          </w:tcPr>
          <w:p w14:paraId="4C453BF6" w14:textId="02C450A7" w:rsidR="00333FAA" w:rsidRPr="000148CC" w:rsidRDefault="003B20DC" w:rsidP="0011741A">
            <w:pPr>
              <w:rPr>
                <w:rFonts w:cs="Arial"/>
              </w:rPr>
            </w:pPr>
            <w:r w:rsidRPr="000148CC">
              <w:rPr>
                <w:rFonts w:cs="Arial"/>
              </w:rPr>
              <w:t xml:space="preserve">Revenue and Capital Monitoring 2017/18 – Quarter </w:t>
            </w:r>
            <w:r w:rsidR="0072161F" w:rsidRPr="000148CC">
              <w:rPr>
                <w:rFonts w:cs="Arial"/>
              </w:rPr>
              <w:t>3</w:t>
            </w:r>
            <w:r w:rsidR="006A633C" w:rsidRPr="000148CC">
              <w:rPr>
                <w:rFonts w:cs="Arial"/>
              </w:rPr>
              <w:t xml:space="preserve"> as at 3</w:t>
            </w:r>
            <w:r w:rsidR="00347AD5" w:rsidRPr="000148CC">
              <w:rPr>
                <w:rFonts w:cs="Arial"/>
              </w:rPr>
              <w:t>1</w:t>
            </w:r>
            <w:r w:rsidR="0072161F" w:rsidRPr="000148CC">
              <w:rPr>
                <w:rFonts w:cs="Arial"/>
                <w:vertAlign w:val="superscript"/>
              </w:rPr>
              <w:t xml:space="preserve">st </w:t>
            </w:r>
            <w:r w:rsidR="0072161F" w:rsidRPr="000148CC">
              <w:rPr>
                <w:rFonts w:cs="Arial"/>
              </w:rPr>
              <w:t>Dec</w:t>
            </w:r>
            <w:r w:rsidR="006A633C" w:rsidRPr="000148CC">
              <w:rPr>
                <w:rFonts w:cs="Arial"/>
              </w:rPr>
              <w:t>ember</w:t>
            </w:r>
            <w:r w:rsidR="00FE0C58" w:rsidRPr="000148CC">
              <w:rPr>
                <w:rFonts w:cs="Arial"/>
              </w:rPr>
              <w:t xml:space="preserve"> </w:t>
            </w:r>
            <w:r w:rsidRPr="000148CC">
              <w:rPr>
                <w:rFonts w:cs="Arial"/>
              </w:rPr>
              <w:t>201</w:t>
            </w:r>
            <w:r w:rsidR="00B16578" w:rsidRPr="000148CC">
              <w:rPr>
                <w:rFonts w:cs="Arial"/>
              </w:rPr>
              <w:t>7</w:t>
            </w:r>
          </w:p>
          <w:p w14:paraId="1157B48C" w14:textId="66404FE0" w:rsidR="0011741A" w:rsidRPr="005E3A10" w:rsidRDefault="0011741A" w:rsidP="0011741A">
            <w:pPr>
              <w:rPr>
                <w:rFonts w:cs="Arial"/>
                <w:szCs w:val="24"/>
              </w:rPr>
            </w:pPr>
          </w:p>
        </w:tc>
      </w:tr>
      <w:tr w:rsidR="00333FAA" w14:paraId="4FDEED1F" w14:textId="77777777" w:rsidTr="000A3C5C">
        <w:trPr>
          <w:trHeight w:val="174"/>
        </w:trPr>
        <w:tc>
          <w:tcPr>
            <w:tcW w:w="3463" w:type="dxa"/>
          </w:tcPr>
          <w:p w14:paraId="1FFB7E24"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0E22EBBF" w14:textId="77777777" w:rsidR="00333FAA" w:rsidRPr="00C13A5F" w:rsidRDefault="00333FAA" w:rsidP="00A53B04">
            <w:pPr>
              <w:pStyle w:val="Infotext"/>
              <w:rPr>
                <w:rFonts w:ascii="Arial Black" w:hAnsi="Arial Black" w:cs="Arial"/>
              </w:rPr>
            </w:pPr>
          </w:p>
        </w:tc>
        <w:tc>
          <w:tcPr>
            <w:tcW w:w="4933" w:type="dxa"/>
            <w:gridSpan w:val="2"/>
          </w:tcPr>
          <w:p w14:paraId="3CA042DF" w14:textId="1BC0079E" w:rsidR="00BF7A26" w:rsidRPr="00BF7A26" w:rsidRDefault="008E3EF8" w:rsidP="00BF7A26">
            <w:pPr>
              <w:pStyle w:val="Infotext"/>
              <w:rPr>
                <w:rFonts w:cs="Arial"/>
                <w:bCs/>
                <w:szCs w:val="24"/>
              </w:rPr>
            </w:pPr>
            <w:r>
              <w:rPr>
                <w:rFonts w:cs="Arial"/>
                <w:sz w:val="24"/>
                <w:szCs w:val="24"/>
              </w:rPr>
              <w:t>Yes</w:t>
            </w:r>
          </w:p>
          <w:p w14:paraId="6CBAA87E" w14:textId="193FB8C6" w:rsidR="00333FAA" w:rsidRPr="005E3A10" w:rsidRDefault="00333FAA" w:rsidP="002C672F">
            <w:pPr>
              <w:pStyle w:val="Infotext"/>
              <w:rPr>
                <w:rFonts w:cs="Arial"/>
                <w:szCs w:val="24"/>
              </w:rPr>
            </w:pPr>
          </w:p>
        </w:tc>
      </w:tr>
      <w:tr w:rsidR="001C7E35" w14:paraId="4B648F80" w14:textId="77777777" w:rsidTr="000A3C5C">
        <w:trPr>
          <w:trHeight w:val="174"/>
        </w:trPr>
        <w:tc>
          <w:tcPr>
            <w:tcW w:w="3463" w:type="dxa"/>
          </w:tcPr>
          <w:p w14:paraId="363BA823"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29AE1371" w14:textId="77777777" w:rsidR="001C7E35" w:rsidRPr="00C13A5F" w:rsidRDefault="001C7E35" w:rsidP="00A53B04">
            <w:pPr>
              <w:pStyle w:val="Infotext"/>
              <w:rPr>
                <w:rFonts w:ascii="Arial Black" w:hAnsi="Arial Black" w:cs="Arial"/>
              </w:rPr>
            </w:pPr>
          </w:p>
        </w:tc>
        <w:tc>
          <w:tcPr>
            <w:tcW w:w="4933" w:type="dxa"/>
            <w:gridSpan w:val="2"/>
          </w:tcPr>
          <w:p w14:paraId="162CAFE5" w14:textId="77777777" w:rsidR="001C7E35" w:rsidRPr="00FF509C" w:rsidRDefault="00FF509C" w:rsidP="00D835CF">
            <w:pPr>
              <w:pStyle w:val="Infotext"/>
              <w:rPr>
                <w:rFonts w:cs="Arial"/>
                <w:sz w:val="24"/>
                <w:szCs w:val="24"/>
              </w:rPr>
            </w:pPr>
            <w:r w:rsidRPr="00FF509C">
              <w:rPr>
                <w:rFonts w:cs="Arial"/>
                <w:sz w:val="24"/>
                <w:szCs w:val="24"/>
              </w:rPr>
              <w:t xml:space="preserve">Dawn Calvert, Director of Finance </w:t>
            </w:r>
          </w:p>
        </w:tc>
      </w:tr>
      <w:tr w:rsidR="001C7E35" w14:paraId="26DE3B16" w14:textId="77777777" w:rsidTr="000A3C5C">
        <w:trPr>
          <w:trHeight w:val="174"/>
        </w:trPr>
        <w:tc>
          <w:tcPr>
            <w:tcW w:w="3463" w:type="dxa"/>
          </w:tcPr>
          <w:p w14:paraId="6BE1FAE3"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5762CB0D" w14:textId="77777777" w:rsidR="001C7E35" w:rsidRPr="00C13A5F" w:rsidRDefault="001C7E35" w:rsidP="00A53B04">
            <w:pPr>
              <w:pStyle w:val="BodyText"/>
              <w:rPr>
                <w:rFonts w:ascii="Arial Black" w:hAnsi="Arial Black"/>
              </w:rPr>
            </w:pPr>
          </w:p>
        </w:tc>
        <w:tc>
          <w:tcPr>
            <w:tcW w:w="4933" w:type="dxa"/>
            <w:gridSpan w:val="2"/>
          </w:tcPr>
          <w:p w14:paraId="0414A3D8" w14:textId="77777777" w:rsidR="001C7E35" w:rsidRPr="005E3A10" w:rsidRDefault="00FF509C" w:rsidP="00E871FD">
            <w:pPr>
              <w:pStyle w:val="Infotext"/>
              <w:rPr>
                <w:rFonts w:cs="Arial"/>
                <w:color w:val="FF0000"/>
                <w:sz w:val="24"/>
                <w:szCs w:val="24"/>
              </w:rPr>
            </w:pPr>
            <w:r w:rsidRPr="00FF509C">
              <w:rPr>
                <w:rFonts w:cs="Arial"/>
                <w:sz w:val="24"/>
                <w:szCs w:val="24"/>
              </w:rPr>
              <w:t xml:space="preserve">Councillor </w:t>
            </w:r>
            <w:r w:rsidR="00D77527">
              <w:rPr>
                <w:rFonts w:cs="Arial"/>
                <w:sz w:val="24"/>
                <w:szCs w:val="24"/>
              </w:rPr>
              <w:t>Adam Swersk</w:t>
            </w:r>
            <w:r w:rsidR="00E871FD">
              <w:rPr>
                <w:rFonts w:cs="Arial"/>
                <w:sz w:val="24"/>
                <w:szCs w:val="24"/>
              </w:rPr>
              <w:t>y,</w:t>
            </w:r>
            <w:r w:rsidRPr="00FF509C">
              <w:rPr>
                <w:rFonts w:cs="Arial"/>
                <w:sz w:val="24"/>
                <w:szCs w:val="24"/>
              </w:rPr>
              <w:t xml:space="preserve"> Portfolio Holder for Finance and </w:t>
            </w:r>
            <w:r w:rsidR="00E871FD">
              <w:rPr>
                <w:rFonts w:cs="Arial"/>
                <w:sz w:val="24"/>
                <w:szCs w:val="24"/>
              </w:rPr>
              <w:t>Commercialisation</w:t>
            </w:r>
          </w:p>
        </w:tc>
      </w:tr>
      <w:tr w:rsidR="001C7E35" w14:paraId="482B9714" w14:textId="77777777" w:rsidTr="000A3C5C">
        <w:trPr>
          <w:trHeight w:val="174"/>
        </w:trPr>
        <w:tc>
          <w:tcPr>
            <w:tcW w:w="3463" w:type="dxa"/>
          </w:tcPr>
          <w:p w14:paraId="368D7583" w14:textId="77777777" w:rsidR="001C7E35" w:rsidRPr="00DB6C3D" w:rsidRDefault="001C7E35" w:rsidP="00DB6C3D">
            <w:pPr>
              <w:pStyle w:val="Infotext"/>
              <w:rPr>
                <w:rFonts w:ascii="Arial Black" w:hAnsi="Arial Black"/>
              </w:rPr>
            </w:pPr>
            <w:r w:rsidRPr="00DB6C3D">
              <w:rPr>
                <w:rFonts w:ascii="Arial Black" w:hAnsi="Arial Black"/>
              </w:rPr>
              <w:t>Exempt:</w:t>
            </w:r>
          </w:p>
          <w:p w14:paraId="6BE1F71B" w14:textId="77777777" w:rsidR="001C7E35" w:rsidRPr="00C13A5F" w:rsidRDefault="001C7E35" w:rsidP="00A53B04">
            <w:pPr>
              <w:pStyle w:val="BodyText"/>
              <w:rPr>
                <w:rFonts w:ascii="Arial Black" w:hAnsi="Arial Black"/>
              </w:rPr>
            </w:pPr>
          </w:p>
        </w:tc>
        <w:tc>
          <w:tcPr>
            <w:tcW w:w="4933" w:type="dxa"/>
            <w:gridSpan w:val="2"/>
          </w:tcPr>
          <w:p w14:paraId="1263810A" w14:textId="2073B91A" w:rsidR="00EF3E22" w:rsidRPr="00EF3E22" w:rsidRDefault="008E3EF8" w:rsidP="00F650D7">
            <w:pPr>
              <w:pStyle w:val="Infotext"/>
              <w:ind w:right="356"/>
              <w:jc w:val="both"/>
              <w:outlineLvl w:val="0"/>
              <w:rPr>
                <w:rFonts w:cs="Arial"/>
                <w:sz w:val="24"/>
                <w:szCs w:val="24"/>
              </w:rPr>
            </w:pPr>
            <w:r w:rsidRPr="008E3EF8">
              <w:rPr>
                <w:rFonts w:cs="Arial"/>
                <w:sz w:val="24"/>
                <w:szCs w:val="24"/>
              </w:rPr>
              <w:t>No,</w:t>
            </w:r>
            <w:r w:rsidRPr="008E3EF8">
              <w:rPr>
                <w:rFonts w:cs="Arial"/>
                <w:bCs/>
                <w:sz w:val="24"/>
                <w:szCs w:val="24"/>
              </w:rPr>
              <w:t xml:space="preserve"> except for Appendix </w:t>
            </w:r>
            <w:r w:rsidR="007502EB">
              <w:rPr>
                <w:rFonts w:cs="Arial"/>
                <w:bCs/>
                <w:sz w:val="24"/>
                <w:szCs w:val="24"/>
              </w:rPr>
              <w:t>5</w:t>
            </w:r>
            <w:r w:rsidRPr="008E3EF8">
              <w:rPr>
                <w:rFonts w:cs="Arial"/>
                <w:bCs/>
                <w:sz w:val="24"/>
                <w:szCs w:val="24"/>
              </w:rPr>
              <w:t>, which is exempt on the grounds that it contains “exempt information” under paragraph 3 of Part I of Schedule 12A to the Local Government Act 1972 (as amended) in that it contains information relating to the financial or business affairs of any particular person (including the authority holding that information</w:t>
            </w:r>
          </w:p>
          <w:p w14:paraId="56D1C2D0" w14:textId="4B39F745" w:rsidR="001C7E35" w:rsidRPr="005E3A10" w:rsidRDefault="001C7E35" w:rsidP="00A64789">
            <w:pPr>
              <w:pStyle w:val="Infotext"/>
              <w:rPr>
                <w:rFonts w:cs="Arial"/>
                <w:color w:val="FF0000"/>
                <w:sz w:val="24"/>
                <w:szCs w:val="24"/>
              </w:rPr>
            </w:pPr>
          </w:p>
        </w:tc>
      </w:tr>
      <w:tr w:rsidR="001C7E35" w14:paraId="41B65A1D" w14:textId="77777777" w:rsidTr="000A3C5C">
        <w:trPr>
          <w:trHeight w:val="174"/>
        </w:trPr>
        <w:tc>
          <w:tcPr>
            <w:tcW w:w="3463" w:type="dxa"/>
          </w:tcPr>
          <w:p w14:paraId="4B4FBB39"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4CCE5532" w14:textId="77777777" w:rsidR="001C7E35" w:rsidRPr="00C13A5F" w:rsidRDefault="001C7E35" w:rsidP="00A53B04">
            <w:pPr>
              <w:pStyle w:val="BodyText"/>
              <w:rPr>
                <w:rFonts w:ascii="Arial Black" w:hAnsi="Arial Black"/>
              </w:rPr>
            </w:pPr>
          </w:p>
        </w:tc>
        <w:tc>
          <w:tcPr>
            <w:tcW w:w="4933" w:type="dxa"/>
            <w:gridSpan w:val="2"/>
          </w:tcPr>
          <w:p w14:paraId="22A730B0" w14:textId="77777777" w:rsidR="001C7E35" w:rsidRPr="005E3A10" w:rsidRDefault="001C7E35" w:rsidP="00D835CF">
            <w:pPr>
              <w:pStyle w:val="Infotext"/>
              <w:rPr>
                <w:rFonts w:cs="Arial"/>
                <w:sz w:val="24"/>
                <w:szCs w:val="24"/>
              </w:rPr>
            </w:pPr>
            <w:r w:rsidRPr="005E3A10">
              <w:rPr>
                <w:rFonts w:cs="Arial"/>
                <w:sz w:val="24"/>
                <w:szCs w:val="24"/>
              </w:rPr>
              <w:t xml:space="preserve">Yes </w:t>
            </w:r>
          </w:p>
          <w:p w14:paraId="03039B65" w14:textId="77777777" w:rsidR="001C7E35" w:rsidRPr="005E3A10" w:rsidRDefault="001C7E35" w:rsidP="00D835CF">
            <w:pPr>
              <w:rPr>
                <w:rFonts w:cs="Arial"/>
                <w:szCs w:val="24"/>
              </w:rPr>
            </w:pPr>
          </w:p>
          <w:p w14:paraId="3C6D21CC" w14:textId="77777777" w:rsidR="00714BEE" w:rsidRPr="005E3A10" w:rsidRDefault="00714BEE" w:rsidP="00D835CF">
            <w:pPr>
              <w:rPr>
                <w:rFonts w:cs="Arial"/>
                <w:szCs w:val="24"/>
              </w:rPr>
            </w:pPr>
          </w:p>
        </w:tc>
      </w:tr>
      <w:tr w:rsidR="001C7E35" w14:paraId="5E775D45" w14:textId="77777777" w:rsidTr="000A3C5C">
        <w:trPr>
          <w:trHeight w:val="174"/>
        </w:trPr>
        <w:tc>
          <w:tcPr>
            <w:tcW w:w="3463" w:type="dxa"/>
          </w:tcPr>
          <w:p w14:paraId="0BABF490" w14:textId="77777777" w:rsidR="001C7E35" w:rsidRDefault="001C7E35" w:rsidP="00A53B04">
            <w:pPr>
              <w:pStyle w:val="Infotext"/>
              <w:rPr>
                <w:rFonts w:ascii="Arial Black" w:hAnsi="Arial Black" w:cs="Arial"/>
              </w:rPr>
            </w:pPr>
            <w:r>
              <w:rPr>
                <w:rFonts w:ascii="Arial Black" w:hAnsi="Arial Black" w:cs="Arial"/>
              </w:rPr>
              <w:t>Wards affected:</w:t>
            </w:r>
          </w:p>
          <w:p w14:paraId="5ED1EC9C" w14:textId="77777777" w:rsidR="001C7E35" w:rsidRPr="00C13A5F" w:rsidRDefault="001C7E35" w:rsidP="00A53B04">
            <w:pPr>
              <w:pStyle w:val="Infotext"/>
              <w:rPr>
                <w:rFonts w:ascii="Arial Black" w:hAnsi="Arial Black" w:cs="Arial"/>
              </w:rPr>
            </w:pPr>
          </w:p>
        </w:tc>
        <w:tc>
          <w:tcPr>
            <w:tcW w:w="4933" w:type="dxa"/>
            <w:gridSpan w:val="2"/>
          </w:tcPr>
          <w:p w14:paraId="366F14A2" w14:textId="77777777" w:rsidR="001C7E35" w:rsidRPr="005E3A10" w:rsidRDefault="00FF509C" w:rsidP="00D835CF">
            <w:pPr>
              <w:rPr>
                <w:rFonts w:cs="Arial"/>
                <w:szCs w:val="24"/>
              </w:rPr>
            </w:pPr>
            <w:r>
              <w:rPr>
                <w:rFonts w:cs="Arial"/>
                <w:szCs w:val="24"/>
              </w:rPr>
              <w:t>All</w:t>
            </w:r>
          </w:p>
        </w:tc>
      </w:tr>
      <w:tr w:rsidR="001C7E35" w14:paraId="2AD78899" w14:textId="77777777" w:rsidTr="000A3C5C">
        <w:trPr>
          <w:trHeight w:val="174"/>
        </w:trPr>
        <w:tc>
          <w:tcPr>
            <w:tcW w:w="3463" w:type="dxa"/>
          </w:tcPr>
          <w:p w14:paraId="244218C7" w14:textId="5FBFEB6A" w:rsidR="001C7E35" w:rsidRPr="00C13A5F" w:rsidRDefault="001C7E35" w:rsidP="00A53B04">
            <w:pPr>
              <w:pStyle w:val="Infotext"/>
              <w:rPr>
                <w:rFonts w:ascii="Arial Black" w:hAnsi="Arial Black" w:cs="Arial"/>
              </w:rPr>
            </w:pPr>
            <w:r w:rsidRPr="00C13A5F">
              <w:rPr>
                <w:rFonts w:ascii="Arial Black" w:hAnsi="Arial Black" w:cs="Arial"/>
              </w:rPr>
              <w:t>Enclosures:</w:t>
            </w:r>
            <w:r w:rsidR="0032360F">
              <w:rPr>
                <w:rFonts w:ascii="Arial Black" w:hAnsi="Arial Black" w:cs="Arial"/>
              </w:rPr>
              <w:t xml:space="preserve">                    </w:t>
            </w:r>
          </w:p>
          <w:p w14:paraId="0AC97A6D" w14:textId="77777777" w:rsidR="001C7E35" w:rsidRDefault="001C7E35" w:rsidP="00A53B04">
            <w:pPr>
              <w:pStyle w:val="Infotext"/>
              <w:rPr>
                <w:rFonts w:ascii="Arial Black" w:hAnsi="Arial Black" w:cs="Arial"/>
              </w:rPr>
            </w:pPr>
          </w:p>
          <w:p w14:paraId="6E6A633D" w14:textId="77777777" w:rsidR="00A229D2" w:rsidRDefault="00A229D2" w:rsidP="00A53B04">
            <w:pPr>
              <w:pStyle w:val="Infotext"/>
              <w:rPr>
                <w:rFonts w:ascii="Arial Black" w:hAnsi="Arial Black" w:cs="Arial"/>
              </w:rPr>
            </w:pPr>
          </w:p>
          <w:p w14:paraId="026E0B7B" w14:textId="77777777" w:rsidR="00A229D2" w:rsidRDefault="00A229D2" w:rsidP="00A53B04">
            <w:pPr>
              <w:pStyle w:val="Infotext"/>
              <w:rPr>
                <w:rFonts w:ascii="Arial Black" w:hAnsi="Arial Black" w:cs="Arial"/>
              </w:rPr>
            </w:pPr>
          </w:p>
          <w:p w14:paraId="52BB2BF3" w14:textId="77777777" w:rsidR="00A229D2" w:rsidRDefault="00A229D2" w:rsidP="00A53B04">
            <w:pPr>
              <w:pStyle w:val="Infotext"/>
              <w:rPr>
                <w:rFonts w:ascii="Arial Black" w:hAnsi="Arial Black" w:cs="Arial"/>
              </w:rPr>
            </w:pPr>
          </w:p>
          <w:p w14:paraId="7191E0F1" w14:textId="77777777" w:rsidR="00A229D2" w:rsidRDefault="00A229D2" w:rsidP="00A53B04">
            <w:pPr>
              <w:pStyle w:val="Infotext"/>
              <w:rPr>
                <w:rFonts w:ascii="Arial Black" w:hAnsi="Arial Black" w:cs="Arial"/>
              </w:rPr>
            </w:pPr>
          </w:p>
          <w:p w14:paraId="046F8254" w14:textId="77777777" w:rsidR="00A229D2" w:rsidRDefault="00A229D2" w:rsidP="00A53B04">
            <w:pPr>
              <w:pStyle w:val="Infotext"/>
              <w:rPr>
                <w:rFonts w:ascii="Arial Black" w:hAnsi="Arial Black" w:cs="Arial"/>
              </w:rPr>
            </w:pPr>
          </w:p>
          <w:p w14:paraId="44E77EE5" w14:textId="77777777" w:rsidR="00A229D2" w:rsidRDefault="00A229D2" w:rsidP="00A53B04">
            <w:pPr>
              <w:pStyle w:val="Infotext"/>
              <w:rPr>
                <w:rFonts w:ascii="Arial Black" w:hAnsi="Arial Black" w:cs="Arial"/>
              </w:rPr>
            </w:pPr>
          </w:p>
          <w:p w14:paraId="16BD55AC" w14:textId="77777777" w:rsidR="00A229D2" w:rsidRPr="00C13A5F" w:rsidRDefault="00A229D2" w:rsidP="00A53B04">
            <w:pPr>
              <w:pStyle w:val="Infotext"/>
              <w:rPr>
                <w:rFonts w:ascii="Arial Black" w:hAnsi="Arial Black" w:cs="Arial"/>
              </w:rPr>
            </w:pPr>
          </w:p>
        </w:tc>
        <w:tc>
          <w:tcPr>
            <w:tcW w:w="4933" w:type="dxa"/>
            <w:gridSpan w:val="2"/>
          </w:tcPr>
          <w:p w14:paraId="537BC93E" w14:textId="2C7789BF" w:rsidR="006D5C47" w:rsidRDefault="003D61E1" w:rsidP="00BB0A57">
            <w:pPr>
              <w:ind w:left="1310" w:right="489" w:hanging="1451"/>
              <w:rPr>
                <w:rFonts w:cs="Arial"/>
              </w:rPr>
            </w:pPr>
            <w:r>
              <w:rPr>
                <w:rFonts w:cs="Arial"/>
              </w:rPr>
              <w:lastRenderedPageBreak/>
              <w:t xml:space="preserve">Appendix </w:t>
            </w:r>
            <w:r w:rsidR="00533EC2">
              <w:rPr>
                <w:rFonts w:cs="Arial"/>
              </w:rPr>
              <w:t>1</w:t>
            </w:r>
            <w:r w:rsidR="00533EC2" w:rsidRPr="006B1DE1">
              <w:rPr>
                <w:rFonts w:cs="Arial"/>
              </w:rPr>
              <w:t xml:space="preserve"> </w:t>
            </w:r>
            <w:r w:rsidR="00533EC2">
              <w:rPr>
                <w:rFonts w:cs="Arial"/>
              </w:rPr>
              <w:t xml:space="preserve">  </w:t>
            </w:r>
            <w:r w:rsidR="0032360F">
              <w:rPr>
                <w:rFonts w:cs="Arial"/>
              </w:rPr>
              <w:t xml:space="preserve"> </w:t>
            </w:r>
            <w:r w:rsidR="00B630A5">
              <w:rPr>
                <w:rFonts w:cs="Arial"/>
              </w:rPr>
              <w:t>Revenue Budget</w:t>
            </w:r>
            <w:r w:rsidR="00533EC2">
              <w:rPr>
                <w:rFonts w:cs="Arial"/>
              </w:rPr>
              <w:t xml:space="preserve"> S</w:t>
            </w:r>
            <w:r w:rsidR="006D5C47" w:rsidRPr="006D5C47">
              <w:rPr>
                <w:rFonts w:cs="Arial"/>
              </w:rPr>
              <w:t>ummary</w:t>
            </w:r>
            <w:r w:rsidR="002F6A03">
              <w:rPr>
                <w:rFonts w:cs="Arial"/>
              </w:rPr>
              <w:t xml:space="preserve"> </w:t>
            </w:r>
            <w:r w:rsidR="006D5C47" w:rsidRPr="006D5C47">
              <w:rPr>
                <w:rFonts w:cs="Arial"/>
              </w:rPr>
              <w:t>(Di</w:t>
            </w:r>
            <w:r w:rsidR="00533EC2">
              <w:rPr>
                <w:rFonts w:cs="Arial"/>
              </w:rPr>
              <w:t>visional</w:t>
            </w:r>
            <w:r w:rsidR="006D5C47" w:rsidRPr="006D5C47">
              <w:rPr>
                <w:rFonts w:cs="Arial"/>
              </w:rPr>
              <w:t>) as at 3</w:t>
            </w:r>
            <w:r w:rsidR="0072161F">
              <w:rPr>
                <w:rFonts w:cs="Arial"/>
              </w:rPr>
              <w:t>1</w:t>
            </w:r>
            <w:r w:rsidR="0072161F">
              <w:rPr>
                <w:rFonts w:cs="Arial"/>
                <w:vertAlign w:val="superscript"/>
              </w:rPr>
              <w:t>st</w:t>
            </w:r>
            <w:r w:rsidR="00EC0C4D">
              <w:rPr>
                <w:rFonts w:cs="Arial"/>
              </w:rPr>
              <w:t xml:space="preserve"> </w:t>
            </w:r>
            <w:r w:rsidR="0072161F">
              <w:rPr>
                <w:rFonts w:cs="Arial"/>
              </w:rPr>
              <w:t>Dec</w:t>
            </w:r>
            <w:r w:rsidR="006A633C">
              <w:rPr>
                <w:rFonts w:cs="Arial"/>
              </w:rPr>
              <w:t>ember</w:t>
            </w:r>
            <w:r w:rsidR="009102CE">
              <w:rPr>
                <w:rFonts w:cs="Arial"/>
              </w:rPr>
              <w:t xml:space="preserve"> </w:t>
            </w:r>
            <w:r w:rsidR="009102CE" w:rsidRPr="006D5C47">
              <w:rPr>
                <w:rFonts w:cs="Arial"/>
              </w:rPr>
              <w:t>201</w:t>
            </w:r>
            <w:r w:rsidR="00B16578">
              <w:rPr>
                <w:rFonts w:cs="Arial"/>
              </w:rPr>
              <w:t>7</w:t>
            </w:r>
            <w:r w:rsidR="006D5C47">
              <w:rPr>
                <w:rFonts w:cs="Arial"/>
              </w:rPr>
              <w:t>.</w:t>
            </w:r>
          </w:p>
          <w:p w14:paraId="1B5A9876" w14:textId="77777777" w:rsidR="0032360F" w:rsidRPr="006D5C47" w:rsidRDefault="0032360F" w:rsidP="00D55D81">
            <w:pPr>
              <w:ind w:left="1452" w:right="489" w:hanging="1452"/>
              <w:rPr>
                <w:rFonts w:cs="Arial"/>
              </w:rPr>
            </w:pPr>
          </w:p>
          <w:p w14:paraId="61984921" w14:textId="442B5F97" w:rsidR="00FF509C" w:rsidRPr="006B1DE1" w:rsidRDefault="006D5C47" w:rsidP="00BB0A57">
            <w:pPr>
              <w:ind w:left="1310" w:right="489" w:hanging="1310"/>
              <w:rPr>
                <w:rFonts w:cs="Arial"/>
              </w:rPr>
            </w:pPr>
            <w:r w:rsidRPr="006D5C47">
              <w:rPr>
                <w:rFonts w:cs="Arial"/>
              </w:rPr>
              <w:t xml:space="preserve">Appendix 2 </w:t>
            </w:r>
            <w:r w:rsidR="00533EC2">
              <w:rPr>
                <w:rFonts w:cs="Arial"/>
              </w:rPr>
              <w:t xml:space="preserve"> </w:t>
            </w:r>
            <w:r w:rsidR="00FF509C" w:rsidRPr="006B1DE1">
              <w:rPr>
                <w:rFonts w:cs="Arial"/>
              </w:rPr>
              <w:t>S</w:t>
            </w:r>
            <w:r w:rsidR="000C69EC">
              <w:rPr>
                <w:rFonts w:cs="Arial"/>
              </w:rPr>
              <w:t>avings Tracker</w:t>
            </w:r>
            <w:r w:rsidR="00FF509C" w:rsidRPr="006B1DE1">
              <w:rPr>
                <w:rFonts w:cs="Arial"/>
              </w:rPr>
              <w:t xml:space="preserve"> 201</w:t>
            </w:r>
            <w:r w:rsidR="00F865BD">
              <w:rPr>
                <w:rFonts w:cs="Arial"/>
              </w:rPr>
              <w:t>7</w:t>
            </w:r>
            <w:r w:rsidR="00FF509C" w:rsidRPr="006B1DE1">
              <w:rPr>
                <w:rFonts w:cs="Arial"/>
              </w:rPr>
              <w:t>/1</w:t>
            </w:r>
            <w:r w:rsidR="00F865BD">
              <w:rPr>
                <w:rFonts w:cs="Arial"/>
              </w:rPr>
              <w:t>8</w:t>
            </w:r>
            <w:r w:rsidR="00FF509C" w:rsidRPr="006B1DE1">
              <w:rPr>
                <w:rFonts w:cs="Arial"/>
              </w:rPr>
              <w:t xml:space="preserve"> to</w:t>
            </w:r>
            <w:r w:rsidR="00B40A0E">
              <w:rPr>
                <w:rFonts w:cs="Arial"/>
              </w:rPr>
              <w:t xml:space="preserve"> </w:t>
            </w:r>
            <w:r w:rsidR="00FF509C" w:rsidRPr="006B1DE1">
              <w:rPr>
                <w:rFonts w:cs="Arial"/>
              </w:rPr>
              <w:t>201</w:t>
            </w:r>
            <w:r w:rsidR="00E871FD">
              <w:rPr>
                <w:rFonts w:cs="Arial"/>
              </w:rPr>
              <w:t>9</w:t>
            </w:r>
            <w:r w:rsidR="00FF509C" w:rsidRPr="006B1DE1">
              <w:rPr>
                <w:rFonts w:cs="Arial"/>
              </w:rPr>
              <w:t>/</w:t>
            </w:r>
            <w:r w:rsidR="00E871FD">
              <w:rPr>
                <w:rFonts w:cs="Arial"/>
              </w:rPr>
              <w:t>20</w:t>
            </w:r>
          </w:p>
          <w:p w14:paraId="2A3A5E3E" w14:textId="7BEB1CA7" w:rsidR="00FF509C" w:rsidRDefault="00B630A5" w:rsidP="00D55D81">
            <w:pPr>
              <w:ind w:left="1593" w:right="489" w:hanging="1593"/>
              <w:rPr>
                <w:rFonts w:cs="Arial"/>
              </w:rPr>
            </w:pPr>
            <w:r>
              <w:rPr>
                <w:rFonts w:cs="Arial"/>
              </w:rPr>
              <w:lastRenderedPageBreak/>
              <w:t xml:space="preserve">                     </w:t>
            </w:r>
            <w:r w:rsidR="00533EC2">
              <w:rPr>
                <w:rFonts w:cs="Arial"/>
              </w:rPr>
              <w:t xml:space="preserve"> </w:t>
            </w:r>
            <w:r w:rsidR="00FF509C" w:rsidRPr="006B1DE1">
              <w:rPr>
                <w:rFonts w:cs="Arial"/>
              </w:rPr>
              <w:t>Savings Tracker</w:t>
            </w:r>
            <w:r w:rsidR="003C2EB7">
              <w:rPr>
                <w:rFonts w:cs="Arial"/>
              </w:rPr>
              <w:t>.</w:t>
            </w:r>
            <w:r w:rsidR="000C1A07">
              <w:rPr>
                <w:rFonts w:cs="Arial"/>
              </w:rPr>
              <w:t xml:space="preserve"> </w:t>
            </w:r>
          </w:p>
          <w:p w14:paraId="7D979B3D" w14:textId="77777777" w:rsidR="0032360F" w:rsidRDefault="0032360F" w:rsidP="00D55D81">
            <w:pPr>
              <w:ind w:left="1593" w:right="489" w:hanging="1593"/>
              <w:rPr>
                <w:rFonts w:cs="Arial"/>
              </w:rPr>
            </w:pPr>
          </w:p>
          <w:p w14:paraId="7FD87A72" w14:textId="4BC5AD00" w:rsidR="00BF7A26" w:rsidRDefault="003D61E1" w:rsidP="000A2CF3">
            <w:pPr>
              <w:ind w:left="1452" w:right="489" w:hanging="1452"/>
              <w:rPr>
                <w:rFonts w:cs="Arial"/>
              </w:rPr>
            </w:pPr>
            <w:r>
              <w:rPr>
                <w:rFonts w:cs="Arial"/>
              </w:rPr>
              <w:t>Appendix</w:t>
            </w:r>
            <w:r w:rsidR="00533EC2">
              <w:rPr>
                <w:rFonts w:cs="Arial"/>
              </w:rPr>
              <w:t xml:space="preserve"> 3   Draw</w:t>
            </w:r>
            <w:r>
              <w:rPr>
                <w:rFonts w:cs="Arial"/>
              </w:rPr>
              <w:t xml:space="preserve"> Down</w:t>
            </w:r>
            <w:r w:rsidR="00B45A6C">
              <w:rPr>
                <w:rFonts w:cs="Arial"/>
              </w:rPr>
              <w:t xml:space="preserve"> from </w:t>
            </w:r>
            <w:r w:rsidR="001A7BE1">
              <w:rPr>
                <w:rFonts w:cs="Arial"/>
              </w:rPr>
              <w:t xml:space="preserve">    </w:t>
            </w:r>
            <w:r w:rsidR="00C1490A">
              <w:rPr>
                <w:rFonts w:cs="Arial"/>
              </w:rPr>
              <w:t>R</w:t>
            </w:r>
            <w:r w:rsidR="00533EC2">
              <w:rPr>
                <w:rFonts w:cs="Arial"/>
              </w:rPr>
              <w:t xml:space="preserve">eserves. </w:t>
            </w:r>
          </w:p>
          <w:p w14:paraId="23AF7259" w14:textId="77777777" w:rsidR="002F6A03" w:rsidRDefault="002F6A03" w:rsidP="00BB0A57">
            <w:pPr>
              <w:ind w:left="1593" w:right="489" w:hanging="1452"/>
              <w:rPr>
                <w:rFonts w:cs="Arial"/>
              </w:rPr>
            </w:pPr>
          </w:p>
          <w:p w14:paraId="562B029F" w14:textId="5AE55F82" w:rsidR="00C9707A" w:rsidRDefault="00BF7A26" w:rsidP="00BB0A57">
            <w:pPr>
              <w:ind w:left="1452" w:right="489" w:hanging="1452"/>
              <w:rPr>
                <w:rFonts w:cs="Arial"/>
              </w:rPr>
            </w:pPr>
            <w:r>
              <w:rPr>
                <w:rFonts w:cs="Arial"/>
              </w:rPr>
              <w:t xml:space="preserve">Appendix 4    </w:t>
            </w:r>
            <w:r w:rsidR="00C9707A">
              <w:rPr>
                <w:rFonts w:cs="Arial"/>
              </w:rPr>
              <w:t xml:space="preserve">Capital Programme as at </w:t>
            </w:r>
            <w:r w:rsidR="0072161F">
              <w:rPr>
                <w:rFonts w:cs="Arial"/>
              </w:rPr>
              <w:t>31</w:t>
            </w:r>
            <w:r w:rsidR="0072161F" w:rsidRPr="000A2CF3">
              <w:rPr>
                <w:rFonts w:cs="Arial"/>
                <w:vertAlign w:val="superscript"/>
              </w:rPr>
              <w:t>st</w:t>
            </w:r>
            <w:r w:rsidR="0072161F">
              <w:rPr>
                <w:rFonts w:cs="Arial"/>
              </w:rPr>
              <w:t xml:space="preserve"> Dec</w:t>
            </w:r>
            <w:r w:rsidR="006A633C">
              <w:rPr>
                <w:rFonts w:cs="Arial"/>
              </w:rPr>
              <w:t>ember</w:t>
            </w:r>
            <w:r w:rsidR="00C9707A">
              <w:rPr>
                <w:rFonts w:cs="Arial"/>
              </w:rPr>
              <w:t xml:space="preserve"> 201</w:t>
            </w:r>
            <w:r w:rsidR="00B16578">
              <w:rPr>
                <w:rFonts w:cs="Arial"/>
              </w:rPr>
              <w:t>7</w:t>
            </w:r>
            <w:r w:rsidR="00C9707A">
              <w:rPr>
                <w:rFonts w:cs="Arial"/>
              </w:rPr>
              <w:t>.</w:t>
            </w:r>
          </w:p>
          <w:p w14:paraId="5D87561E" w14:textId="7F8A8777" w:rsidR="003D61E1" w:rsidRDefault="006C2029" w:rsidP="00BB0A57">
            <w:pPr>
              <w:ind w:left="1452" w:right="489" w:hanging="1452"/>
              <w:rPr>
                <w:rFonts w:cs="Arial"/>
              </w:rPr>
            </w:pPr>
            <w:r>
              <w:rPr>
                <w:rFonts w:cs="Arial"/>
              </w:rPr>
              <w:t xml:space="preserve"> </w:t>
            </w:r>
          </w:p>
          <w:p w14:paraId="26AC5665" w14:textId="6A0991D2" w:rsidR="00E36CA7" w:rsidRPr="00BE1732" w:rsidRDefault="00E36CA7" w:rsidP="00BB0A57">
            <w:pPr>
              <w:ind w:left="1452" w:right="489" w:hanging="1452"/>
              <w:rPr>
                <w:rFonts w:cs="Arial"/>
              </w:rPr>
            </w:pPr>
            <w:r>
              <w:rPr>
                <w:rFonts w:cs="Arial"/>
              </w:rPr>
              <w:t xml:space="preserve">Appendix </w:t>
            </w:r>
            <w:r w:rsidR="0072161F">
              <w:rPr>
                <w:rFonts w:cs="Arial"/>
              </w:rPr>
              <w:t>5</w:t>
            </w:r>
            <w:r w:rsidRPr="00E36CA7">
              <w:rPr>
                <w:rFonts w:cs="Arial"/>
              </w:rPr>
              <w:t xml:space="preserve"> </w:t>
            </w:r>
            <w:r>
              <w:rPr>
                <w:rFonts w:cs="Arial"/>
              </w:rPr>
              <w:t xml:space="preserve">   </w:t>
            </w:r>
            <w:r w:rsidR="000C69EC">
              <w:rPr>
                <w:rFonts w:cs="Arial"/>
              </w:rPr>
              <w:t xml:space="preserve">Quarter 3 </w:t>
            </w:r>
            <w:r w:rsidRPr="00E36CA7">
              <w:rPr>
                <w:rFonts w:cs="Arial"/>
              </w:rPr>
              <w:t>Concilium Business Services Performance Report</w:t>
            </w:r>
            <w:r w:rsidR="000148CC">
              <w:rPr>
                <w:rFonts w:cs="Arial"/>
              </w:rPr>
              <w:t xml:space="preserve"> (Exempt – Part II)</w:t>
            </w:r>
            <w:r w:rsidR="00547BB2">
              <w:rPr>
                <w:rFonts w:cs="Arial"/>
              </w:rPr>
              <w:t>.</w:t>
            </w:r>
          </w:p>
          <w:p w14:paraId="462D4E2A" w14:textId="77777777" w:rsidR="00EF3E22" w:rsidRDefault="00EF3E22" w:rsidP="00C61CE7">
            <w:pPr>
              <w:ind w:right="489"/>
              <w:rPr>
                <w:rFonts w:cs="Arial"/>
              </w:rPr>
            </w:pPr>
          </w:p>
          <w:p w14:paraId="2C4D4186" w14:textId="42F3C083" w:rsidR="00617488" w:rsidRPr="007635E6" w:rsidRDefault="00617488" w:rsidP="00C61CE7">
            <w:pPr>
              <w:ind w:right="489"/>
              <w:rPr>
                <w:rFonts w:cs="Arial"/>
              </w:rPr>
            </w:pPr>
          </w:p>
        </w:tc>
      </w:tr>
      <w:tr w:rsidR="00333FAA" w14:paraId="0515A286" w14:textId="77777777" w:rsidTr="000A3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174"/>
        </w:trPr>
        <w:tc>
          <w:tcPr>
            <w:tcW w:w="8228" w:type="dxa"/>
            <w:gridSpan w:val="2"/>
            <w:tcBorders>
              <w:top w:val="nil"/>
              <w:left w:val="nil"/>
              <w:right w:val="nil"/>
            </w:tcBorders>
          </w:tcPr>
          <w:p w14:paraId="633279A7" w14:textId="3C7B2A0C" w:rsidR="00333FAA" w:rsidRDefault="00333FAA" w:rsidP="00A53B04">
            <w:pPr>
              <w:pStyle w:val="Heading1"/>
            </w:pPr>
            <w:r>
              <w:lastRenderedPageBreak/>
              <w:t>Section 1 – Summary and Recommendations</w:t>
            </w:r>
          </w:p>
          <w:p w14:paraId="2271DC1A" w14:textId="77777777" w:rsidR="00333FAA" w:rsidRDefault="00333FAA" w:rsidP="00A53B04"/>
        </w:tc>
      </w:tr>
      <w:tr w:rsidR="00333FAA" w14:paraId="63D0B186" w14:textId="77777777" w:rsidTr="000A3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6154"/>
        </w:trPr>
        <w:tc>
          <w:tcPr>
            <w:tcW w:w="8228" w:type="dxa"/>
            <w:gridSpan w:val="2"/>
          </w:tcPr>
          <w:p w14:paraId="2A089053" w14:textId="1A309AD9" w:rsidR="00333FAA" w:rsidRDefault="00333FAA" w:rsidP="00A53B04"/>
          <w:p w14:paraId="259588FC" w14:textId="43E01434" w:rsidR="00FF509C" w:rsidRPr="00E6369A" w:rsidRDefault="0011741A" w:rsidP="00FF509C">
            <w:r w:rsidRPr="0011741A">
              <w:t>This report sets out the</w:t>
            </w:r>
            <w:r w:rsidR="00361B43" w:rsidRPr="00361B43">
              <w:t xml:space="preserve"> Council’s revenue monitoring position as at </w:t>
            </w:r>
            <w:r w:rsidR="00EC0C4D">
              <w:t xml:space="preserve">Quarter </w:t>
            </w:r>
            <w:r w:rsidR="0072161F">
              <w:t>3</w:t>
            </w:r>
            <w:r w:rsidR="00361B43" w:rsidRPr="00361B43">
              <w:t xml:space="preserve"> 2017/18 (3</w:t>
            </w:r>
            <w:r w:rsidR="0072161F">
              <w:t>1</w:t>
            </w:r>
            <w:r w:rsidR="0072161F">
              <w:rPr>
                <w:vertAlign w:val="superscript"/>
              </w:rPr>
              <w:t>st</w:t>
            </w:r>
            <w:r w:rsidR="00EC0C4D">
              <w:t xml:space="preserve"> </w:t>
            </w:r>
            <w:r w:rsidR="0072161F">
              <w:t>Dec</w:t>
            </w:r>
            <w:r w:rsidR="006A633C">
              <w:t>ember</w:t>
            </w:r>
            <w:r w:rsidR="00361B43" w:rsidRPr="00361B43">
              <w:t xml:space="preserve"> 201</w:t>
            </w:r>
            <w:r w:rsidR="00E91D2B">
              <w:t>7</w:t>
            </w:r>
            <w:r w:rsidR="00361B43" w:rsidRPr="00361B43">
              <w:t>)</w:t>
            </w:r>
            <w:r w:rsidR="00EC0C4D">
              <w:t>.</w:t>
            </w:r>
          </w:p>
          <w:p w14:paraId="74B4F44D" w14:textId="77777777" w:rsidR="00FF509C" w:rsidRPr="00E6369A" w:rsidRDefault="00FF509C" w:rsidP="00FF509C"/>
          <w:p w14:paraId="5D0D161F" w14:textId="77777777" w:rsidR="00FF509C" w:rsidRPr="00E6369A" w:rsidRDefault="00FF509C" w:rsidP="00FF509C">
            <w:pPr>
              <w:pStyle w:val="Heading2"/>
            </w:pPr>
            <w:r w:rsidRPr="00E6369A">
              <w:t xml:space="preserve">Recommendations: </w:t>
            </w:r>
          </w:p>
          <w:p w14:paraId="5A168F88" w14:textId="77777777" w:rsidR="00FF509C" w:rsidRPr="00E6369A" w:rsidRDefault="00FF509C" w:rsidP="00FF509C"/>
          <w:p w14:paraId="338699CB" w14:textId="23168A87" w:rsidR="00BE1732" w:rsidRDefault="00361B43" w:rsidP="00173DA5">
            <w:pPr>
              <w:pStyle w:val="ListParagraph"/>
              <w:numPr>
                <w:ilvl w:val="0"/>
                <w:numId w:val="1"/>
              </w:numPr>
            </w:pPr>
            <w:r w:rsidRPr="00361B43">
              <w:t xml:space="preserve">Cabinet </w:t>
            </w:r>
            <w:r w:rsidR="000C69EC">
              <w:t xml:space="preserve">to </w:t>
            </w:r>
            <w:r w:rsidRPr="00361B43">
              <w:t xml:space="preserve">note the revenue forecast position detailed in this report as at </w:t>
            </w:r>
            <w:r w:rsidR="00EC0C4D">
              <w:t xml:space="preserve">Quarter </w:t>
            </w:r>
            <w:r w:rsidR="0072161F">
              <w:t>3</w:t>
            </w:r>
            <w:r w:rsidR="009102CE" w:rsidRPr="00361B43">
              <w:t xml:space="preserve"> 2017</w:t>
            </w:r>
            <w:r w:rsidRPr="00361B43">
              <w:t>/18</w:t>
            </w:r>
            <w:r w:rsidR="00116D84">
              <w:t>.</w:t>
            </w:r>
            <w:r>
              <w:t xml:space="preserve"> </w:t>
            </w:r>
          </w:p>
          <w:p w14:paraId="27FA4691" w14:textId="77777777" w:rsidR="00BE1732" w:rsidRDefault="00BE1732" w:rsidP="00BE1732">
            <w:pPr>
              <w:pStyle w:val="ListParagraph"/>
            </w:pPr>
          </w:p>
          <w:p w14:paraId="0B6D5CE0" w14:textId="4EFF0004" w:rsidR="00014135" w:rsidRPr="00014135" w:rsidRDefault="00014135" w:rsidP="00014135">
            <w:pPr>
              <w:pStyle w:val="ListParagraph"/>
              <w:numPr>
                <w:ilvl w:val="0"/>
                <w:numId w:val="1"/>
              </w:numPr>
            </w:pPr>
            <w:r w:rsidRPr="00014135">
              <w:t>Cabinet to approve debt write</w:t>
            </w:r>
            <w:r>
              <w:t xml:space="preserve"> off</w:t>
            </w:r>
            <w:r w:rsidR="00FB7B2D">
              <w:t xml:space="preserve">s </w:t>
            </w:r>
            <w:r w:rsidR="004B336F">
              <w:t xml:space="preserve"> totalling £138k as</w:t>
            </w:r>
            <w:r>
              <w:t xml:space="preserve"> specified in paragraph </w:t>
            </w:r>
            <w:r w:rsidR="006A2A11">
              <w:t>2.</w:t>
            </w:r>
            <w:r w:rsidR="00727664">
              <w:t>30</w:t>
            </w:r>
            <w:r w:rsidR="00B024AC">
              <w:t xml:space="preserve"> to 2.32</w:t>
            </w:r>
            <w:r w:rsidR="00727664">
              <w:t xml:space="preserve"> </w:t>
            </w:r>
          </w:p>
          <w:p w14:paraId="10DDE682" w14:textId="77777777" w:rsidR="00014135" w:rsidRDefault="00014135" w:rsidP="00CB1B58">
            <w:pPr>
              <w:pStyle w:val="ListParagraph"/>
            </w:pPr>
          </w:p>
          <w:p w14:paraId="7C93BB87" w14:textId="39AAFA3E" w:rsidR="0009207E" w:rsidRPr="00BF7A26" w:rsidRDefault="003C0F6E" w:rsidP="0009207E">
            <w:pPr>
              <w:pStyle w:val="ListParagraph"/>
              <w:numPr>
                <w:ilvl w:val="0"/>
                <w:numId w:val="1"/>
              </w:numPr>
            </w:pPr>
            <w:r>
              <w:t xml:space="preserve">Cabinet to approve </w:t>
            </w:r>
            <w:r w:rsidR="001A7BE1">
              <w:t xml:space="preserve"> </w:t>
            </w:r>
            <w:r>
              <w:t>addition</w:t>
            </w:r>
            <w:r w:rsidR="00C06A6E">
              <w:t>s</w:t>
            </w:r>
            <w:r>
              <w:t xml:space="preserve"> to the Capital Programme as specified in paragraph</w:t>
            </w:r>
            <w:r w:rsidR="00326907">
              <w:t xml:space="preserve"> </w:t>
            </w:r>
            <w:r w:rsidR="00AD51B2">
              <w:t>3.3</w:t>
            </w:r>
            <w:r w:rsidR="00770DDE">
              <w:t>8</w:t>
            </w:r>
            <w:r w:rsidR="00B271FD">
              <w:t xml:space="preserve"> to 3.39</w:t>
            </w:r>
          </w:p>
          <w:p w14:paraId="3ED15D15" w14:textId="77777777" w:rsidR="00520D2A" w:rsidRPr="00BB0A57" w:rsidRDefault="00520D2A" w:rsidP="00520D2A">
            <w:pPr>
              <w:pStyle w:val="ListParagraph"/>
              <w:rPr>
                <w:highlight w:val="yellow"/>
              </w:rPr>
            </w:pPr>
          </w:p>
          <w:p w14:paraId="1513DE2F" w14:textId="434E1F75" w:rsidR="00014135" w:rsidRDefault="001A7BE1" w:rsidP="0002252A">
            <w:pPr>
              <w:pStyle w:val="ListParagraph"/>
              <w:numPr>
                <w:ilvl w:val="0"/>
                <w:numId w:val="1"/>
              </w:numPr>
            </w:pPr>
            <w:r>
              <w:t>Cabinet to note one re-profiling</w:t>
            </w:r>
            <w:r w:rsidR="00326907">
              <w:t xml:space="preserve"> </w:t>
            </w:r>
            <w:r>
              <w:t xml:space="preserve">within the </w:t>
            </w:r>
            <w:r w:rsidR="00326907">
              <w:t>capital programm</w:t>
            </w:r>
            <w:r w:rsidR="00AD51B2">
              <w:t>e as specified in paragraph 3.</w:t>
            </w:r>
            <w:r w:rsidR="00B271FD">
              <w:t xml:space="preserve">40 </w:t>
            </w:r>
          </w:p>
          <w:p w14:paraId="394643CB" w14:textId="77777777" w:rsidR="00014135" w:rsidRDefault="00014135" w:rsidP="00CB1B58">
            <w:pPr>
              <w:pStyle w:val="ListParagraph"/>
            </w:pPr>
          </w:p>
          <w:p w14:paraId="3FE137E4" w14:textId="2719A4E5" w:rsidR="00EC7194" w:rsidRPr="00EC7194" w:rsidRDefault="00EC7194" w:rsidP="00EC7194">
            <w:pPr>
              <w:pStyle w:val="ListParagraph"/>
              <w:numPr>
                <w:ilvl w:val="0"/>
                <w:numId w:val="1"/>
              </w:numPr>
            </w:pPr>
            <w:r>
              <w:t xml:space="preserve">Cabinet note the </w:t>
            </w:r>
            <w:r w:rsidR="001A7BE1">
              <w:t>Q</w:t>
            </w:r>
            <w:r>
              <w:t>uarter</w:t>
            </w:r>
            <w:r w:rsidRPr="00EC7194">
              <w:t xml:space="preserve"> </w:t>
            </w:r>
            <w:r w:rsidR="0072161F">
              <w:t>3</w:t>
            </w:r>
            <w:r w:rsidR="00D15EE6">
              <w:t xml:space="preserve"> </w:t>
            </w:r>
            <w:r w:rsidR="00C71252">
              <w:t>performance reports</w:t>
            </w:r>
            <w:r w:rsidRPr="00EC7194">
              <w:t xml:space="preserve"> from Concilium Business Service as specified in Appendix </w:t>
            </w:r>
            <w:r w:rsidR="0072161F">
              <w:t>5</w:t>
            </w:r>
            <w:r w:rsidRPr="00EC7194">
              <w:t xml:space="preserve"> (Part II </w:t>
            </w:r>
            <w:r w:rsidR="0030198F">
              <w:t>report</w:t>
            </w:r>
            <w:r w:rsidRPr="00EC7194">
              <w:t>).</w:t>
            </w:r>
            <w:r w:rsidR="003D0738">
              <w:t xml:space="preserve"> </w:t>
            </w:r>
          </w:p>
          <w:p w14:paraId="5CFBACFC" w14:textId="77777777" w:rsidR="00EC7194" w:rsidRPr="00BB0A57" w:rsidRDefault="00EC7194" w:rsidP="00EC7194">
            <w:pPr>
              <w:pStyle w:val="ListParagraph"/>
            </w:pPr>
          </w:p>
          <w:p w14:paraId="55B13C5D" w14:textId="77777777" w:rsidR="00BF7A26" w:rsidRPr="00A7359D" w:rsidRDefault="00BF7A26" w:rsidP="00BB0A57">
            <w:pPr>
              <w:pStyle w:val="ListParagraph"/>
              <w:rPr>
                <w:highlight w:val="yellow"/>
              </w:rPr>
            </w:pPr>
          </w:p>
          <w:p w14:paraId="37A6EA90" w14:textId="77777777" w:rsidR="00785D40" w:rsidRDefault="00785D40" w:rsidP="00785D40">
            <w:pPr>
              <w:pStyle w:val="ListParagraph"/>
            </w:pPr>
          </w:p>
          <w:p w14:paraId="1D0F13EA" w14:textId="26F5865C" w:rsidR="00FF509C" w:rsidRPr="00E6369A" w:rsidRDefault="00FF509C" w:rsidP="00FF509C">
            <w:pPr>
              <w:rPr>
                <w:b/>
                <w:sz w:val="28"/>
                <w:szCs w:val="28"/>
              </w:rPr>
            </w:pPr>
            <w:r w:rsidRPr="00E6369A">
              <w:rPr>
                <w:b/>
                <w:sz w:val="28"/>
                <w:szCs w:val="28"/>
              </w:rPr>
              <w:t>Reason:  (For recommendation)</w:t>
            </w:r>
          </w:p>
          <w:p w14:paraId="667BC136" w14:textId="1DD7B36B" w:rsidR="00333FAA" w:rsidRDefault="00A53151" w:rsidP="00FF509C">
            <w:r w:rsidRPr="0009207E">
              <w:t>To</w:t>
            </w:r>
            <w:r w:rsidRPr="00361B43">
              <w:t xml:space="preserve"> report</w:t>
            </w:r>
            <w:r w:rsidR="00361B43" w:rsidRPr="00361B43">
              <w:t xml:space="preserve"> the 2017/18 forecast financial position as at 3</w:t>
            </w:r>
            <w:r w:rsidR="0072161F">
              <w:t>1</w:t>
            </w:r>
            <w:r w:rsidR="0072161F">
              <w:rPr>
                <w:vertAlign w:val="superscript"/>
              </w:rPr>
              <w:t>st</w:t>
            </w:r>
            <w:r w:rsidR="00EC0C4D">
              <w:t xml:space="preserve"> </w:t>
            </w:r>
            <w:r w:rsidR="0072161F">
              <w:t>Dec</w:t>
            </w:r>
            <w:r w:rsidR="006A633C">
              <w:t>ember</w:t>
            </w:r>
            <w:r w:rsidR="009102CE">
              <w:t xml:space="preserve"> </w:t>
            </w:r>
            <w:r w:rsidR="009102CE" w:rsidRPr="00361B43">
              <w:t>2017</w:t>
            </w:r>
            <w:r w:rsidR="004566B3">
              <w:t xml:space="preserve"> </w:t>
            </w:r>
            <w:r w:rsidR="00AD0C57">
              <w:t xml:space="preserve">and </w:t>
            </w:r>
            <w:r w:rsidR="0033220C">
              <w:t>seek</w:t>
            </w:r>
            <w:r w:rsidR="0009207E">
              <w:t xml:space="preserve"> </w:t>
            </w:r>
            <w:r w:rsidR="0013304F">
              <w:t>Cabinet</w:t>
            </w:r>
            <w:r w:rsidR="0009207E">
              <w:t xml:space="preserve"> </w:t>
            </w:r>
            <w:r w:rsidR="0096570D" w:rsidRPr="003E0DBB">
              <w:t>approval for</w:t>
            </w:r>
            <w:r w:rsidR="00C1490A">
              <w:t xml:space="preserve"> </w:t>
            </w:r>
            <w:r w:rsidR="00381603">
              <w:t>c</w:t>
            </w:r>
            <w:r w:rsidR="00C1490A">
              <w:t xml:space="preserve">apital </w:t>
            </w:r>
            <w:r w:rsidR="00381603">
              <w:t>p</w:t>
            </w:r>
            <w:r w:rsidR="00C1490A">
              <w:t>rogra</w:t>
            </w:r>
            <w:r w:rsidR="002C1AC5">
              <w:t>m</w:t>
            </w:r>
            <w:r w:rsidR="00C1490A">
              <w:t>me</w:t>
            </w:r>
            <w:r w:rsidR="0096570D" w:rsidRPr="003E0DBB">
              <w:t xml:space="preserve"> adjustments</w:t>
            </w:r>
            <w:r w:rsidR="004B336F">
              <w:t xml:space="preserve"> and </w:t>
            </w:r>
            <w:r w:rsidR="00D851E6">
              <w:t>debts write</w:t>
            </w:r>
            <w:r w:rsidR="004B336F">
              <w:t xml:space="preserve"> </w:t>
            </w:r>
            <w:r w:rsidR="00BD51DB">
              <w:t>offs</w:t>
            </w:r>
            <w:r w:rsidR="0096570D" w:rsidRPr="003E0DBB">
              <w:t xml:space="preserve"> which re</w:t>
            </w:r>
            <w:r w:rsidR="00953298" w:rsidRPr="003E0DBB">
              <w:t>quire Cabinet approval in accordance with</w:t>
            </w:r>
            <w:r w:rsidR="0096570D" w:rsidRPr="003E0DBB">
              <w:t xml:space="preserve"> Financial Regulations.</w:t>
            </w:r>
          </w:p>
          <w:p w14:paraId="34B02037" w14:textId="77777777" w:rsidR="00333FAA" w:rsidRDefault="00333FAA" w:rsidP="00A53B04">
            <w:pPr>
              <w:jc w:val="both"/>
              <w:rPr>
                <w:rFonts w:cs="Arial"/>
              </w:rPr>
            </w:pPr>
          </w:p>
        </w:tc>
      </w:tr>
    </w:tbl>
    <w:p w14:paraId="380862F1" w14:textId="77777777" w:rsidR="001B5724" w:rsidRDefault="001B5724" w:rsidP="00DA6F37"/>
    <w:p w14:paraId="585673FD" w14:textId="77777777" w:rsidR="00617488" w:rsidRDefault="00617488" w:rsidP="00DA6F37"/>
    <w:p w14:paraId="07AC8E59" w14:textId="77777777" w:rsidR="00617488" w:rsidRDefault="00617488" w:rsidP="00DA6F37"/>
    <w:p w14:paraId="01DDB338" w14:textId="77777777" w:rsidR="00617488" w:rsidRDefault="00617488" w:rsidP="00DA6F37"/>
    <w:p w14:paraId="31311860" w14:textId="77777777" w:rsidR="00617488" w:rsidRDefault="00617488" w:rsidP="00DA6F37"/>
    <w:p w14:paraId="5D7407D5" w14:textId="77777777" w:rsidR="00012D08" w:rsidRDefault="00012D08" w:rsidP="00DA6F37"/>
    <w:p w14:paraId="4380FB16" w14:textId="77777777" w:rsidR="00617488" w:rsidRDefault="00617488" w:rsidP="00DA6F37"/>
    <w:p w14:paraId="7AA0F378" w14:textId="77777777" w:rsidR="00544B40" w:rsidRDefault="00544B40" w:rsidP="00DA6F37"/>
    <w:p w14:paraId="5CFE2BF1" w14:textId="77777777" w:rsidR="00741AEB" w:rsidRDefault="00741AEB" w:rsidP="00741AEB">
      <w:pPr>
        <w:pStyle w:val="Heading1"/>
      </w:pPr>
      <w:r w:rsidRPr="006B1DE1">
        <w:t>Section 2 – Report</w:t>
      </w:r>
    </w:p>
    <w:p w14:paraId="1DE891AC" w14:textId="77777777" w:rsidR="004F7602" w:rsidRDefault="004F7602" w:rsidP="00AF1127"/>
    <w:p w14:paraId="4F47D206" w14:textId="4E8F60A1" w:rsidR="004D4468" w:rsidRDefault="00FA5D52" w:rsidP="000A2CF3">
      <w:pPr>
        <w:pStyle w:val="ListParagraph"/>
        <w:keepNext/>
        <w:numPr>
          <w:ilvl w:val="2"/>
          <w:numId w:val="10"/>
        </w:numPr>
        <w:ind w:left="142" w:hanging="284"/>
        <w:outlineLvl w:val="1"/>
        <w:rPr>
          <w:rFonts w:cs="Arial"/>
          <w:b/>
          <w:bCs/>
          <w:kern w:val="32"/>
          <w:sz w:val="28"/>
          <w:szCs w:val="28"/>
          <w:u w:val="single"/>
        </w:rPr>
      </w:pPr>
      <w:r w:rsidRPr="00835EA0">
        <w:rPr>
          <w:rFonts w:cs="Arial"/>
          <w:b/>
          <w:bCs/>
          <w:kern w:val="32"/>
          <w:sz w:val="28"/>
          <w:szCs w:val="28"/>
          <w:u w:val="single"/>
        </w:rPr>
        <w:t>INTRODUCTION</w:t>
      </w:r>
    </w:p>
    <w:p w14:paraId="2B4FBD49" w14:textId="77777777" w:rsidR="003D0738" w:rsidRPr="00835EA0" w:rsidRDefault="003D0738" w:rsidP="000A2CF3">
      <w:pPr>
        <w:pStyle w:val="ListParagraph"/>
        <w:keepNext/>
        <w:ind w:left="142"/>
        <w:outlineLvl w:val="1"/>
        <w:rPr>
          <w:rFonts w:cs="Arial"/>
          <w:b/>
          <w:bCs/>
          <w:kern w:val="32"/>
          <w:sz w:val="28"/>
          <w:szCs w:val="28"/>
          <w:u w:val="single"/>
        </w:rPr>
      </w:pPr>
    </w:p>
    <w:p w14:paraId="0D9D2100" w14:textId="07642DB8" w:rsidR="001912B3" w:rsidRPr="00B024AC" w:rsidRDefault="004049E4" w:rsidP="000A2CF3">
      <w:pPr>
        <w:pStyle w:val="ListParagraph"/>
        <w:keepNext/>
        <w:numPr>
          <w:ilvl w:val="1"/>
          <w:numId w:val="138"/>
        </w:numPr>
        <w:tabs>
          <w:tab w:val="left" w:pos="284"/>
        </w:tabs>
        <w:spacing w:after="240"/>
        <w:ind w:left="648" w:hanging="648"/>
        <w:jc w:val="both"/>
        <w:outlineLvl w:val="1"/>
      </w:pPr>
      <w:r w:rsidRPr="00B024AC">
        <w:t xml:space="preserve">The net forecast position as at </w:t>
      </w:r>
      <w:r w:rsidR="005B671D" w:rsidRPr="00B024AC">
        <w:t xml:space="preserve">Quarter </w:t>
      </w:r>
      <w:r w:rsidR="00182B0C" w:rsidRPr="00B024AC">
        <w:t>3</w:t>
      </w:r>
      <w:r w:rsidRPr="00B024AC">
        <w:t xml:space="preserve"> (3</w:t>
      </w:r>
      <w:r w:rsidR="00182B0C" w:rsidRPr="00B024AC">
        <w:t>1</w:t>
      </w:r>
      <w:r w:rsidR="00182B0C" w:rsidRPr="00B024AC">
        <w:rPr>
          <w:vertAlign w:val="superscript"/>
        </w:rPr>
        <w:t>st</w:t>
      </w:r>
      <w:r w:rsidR="005B671D" w:rsidRPr="00B024AC">
        <w:t xml:space="preserve"> </w:t>
      </w:r>
      <w:r w:rsidR="00182B0C" w:rsidRPr="00B024AC">
        <w:t>Dec</w:t>
      </w:r>
      <w:r w:rsidR="006C5084" w:rsidRPr="00B024AC">
        <w:t>ember</w:t>
      </w:r>
      <w:r w:rsidR="005B671D" w:rsidRPr="00B024AC">
        <w:t xml:space="preserve"> </w:t>
      </w:r>
      <w:r w:rsidRPr="00B024AC">
        <w:t xml:space="preserve">2017) on </w:t>
      </w:r>
      <w:r w:rsidR="008F1A2F" w:rsidRPr="00B024AC">
        <w:t>the revenue</w:t>
      </w:r>
      <w:r w:rsidRPr="00B024AC">
        <w:t xml:space="preserve"> budget is </w:t>
      </w:r>
      <w:r w:rsidR="00DA71DF" w:rsidRPr="00B024AC">
        <w:t>showing a</w:t>
      </w:r>
      <w:r w:rsidR="007126FD" w:rsidRPr="00B024AC">
        <w:t xml:space="preserve"> balanced position after a one-off contribution </w:t>
      </w:r>
      <w:r w:rsidR="005105B4" w:rsidRPr="000A3C5C">
        <w:t xml:space="preserve">to </w:t>
      </w:r>
      <w:r w:rsidR="00B024AC" w:rsidRPr="000A3C5C">
        <w:t xml:space="preserve">reserves of £1.648m, which will be </w:t>
      </w:r>
      <w:r w:rsidR="000C69EC">
        <w:t xml:space="preserve">set aside for </w:t>
      </w:r>
      <w:r w:rsidR="00B024AC" w:rsidRPr="000A3C5C">
        <w:t xml:space="preserve">used </w:t>
      </w:r>
      <w:r w:rsidR="000C69EC">
        <w:t>against</w:t>
      </w:r>
      <w:r w:rsidR="00B024AC" w:rsidRPr="000A3C5C">
        <w:t xml:space="preserve"> the </w:t>
      </w:r>
      <w:r w:rsidR="005105B4" w:rsidRPr="000A3C5C">
        <w:t>2019/20 budget.</w:t>
      </w:r>
      <w:r w:rsidRPr="00B024AC">
        <w:t xml:space="preserve">  </w:t>
      </w:r>
      <w:r w:rsidR="00556480" w:rsidRPr="00B024AC">
        <w:t>The directorates are reporting an over</w:t>
      </w:r>
      <w:r w:rsidR="003D4E32" w:rsidRPr="00B024AC">
        <w:t xml:space="preserve"> </w:t>
      </w:r>
      <w:r w:rsidR="00556480" w:rsidRPr="00B024AC">
        <w:t>spend of £</w:t>
      </w:r>
      <w:r w:rsidR="005105B4" w:rsidRPr="000A3C5C">
        <w:t>3.791</w:t>
      </w:r>
      <w:r w:rsidR="00556480" w:rsidRPr="00B024AC">
        <w:t>m</w:t>
      </w:r>
      <w:r w:rsidR="002C3ACF" w:rsidRPr="00B024AC">
        <w:t>, a</w:t>
      </w:r>
      <w:r w:rsidR="00410C9C" w:rsidRPr="00B024AC">
        <w:t xml:space="preserve"> reduction</w:t>
      </w:r>
      <w:r w:rsidR="004926C1" w:rsidRPr="00B024AC">
        <w:t xml:space="preserve"> in</w:t>
      </w:r>
      <w:r w:rsidR="002C3ACF" w:rsidRPr="00B024AC">
        <w:t xml:space="preserve"> forecast overspend of </w:t>
      </w:r>
      <w:r w:rsidR="005108A7" w:rsidRPr="00B024AC">
        <w:t>(</w:t>
      </w:r>
      <w:r w:rsidR="002C3ACF" w:rsidRPr="00B024AC">
        <w:t>£</w:t>
      </w:r>
      <w:r w:rsidR="00410C9C" w:rsidRPr="00B024AC">
        <w:t>0.</w:t>
      </w:r>
      <w:r w:rsidR="005105B4" w:rsidRPr="000A3C5C">
        <w:t>0</w:t>
      </w:r>
      <w:r w:rsidR="00410C9C" w:rsidRPr="00B024AC">
        <w:t>8</w:t>
      </w:r>
      <w:r w:rsidR="005105B4" w:rsidRPr="000A3C5C">
        <w:t>9</w:t>
      </w:r>
      <w:r w:rsidR="00182B0C" w:rsidRPr="00B024AC">
        <w:t>m</w:t>
      </w:r>
      <w:r w:rsidR="005108A7" w:rsidRPr="00B024AC">
        <w:t>)</w:t>
      </w:r>
      <w:r w:rsidR="002C3ACF" w:rsidRPr="00B024AC">
        <w:t xml:space="preserve"> when compare</w:t>
      </w:r>
      <w:r w:rsidR="009D39DA" w:rsidRPr="00B024AC">
        <w:t>d</w:t>
      </w:r>
      <w:r w:rsidR="002C3ACF" w:rsidRPr="00B024AC">
        <w:t xml:space="preserve"> to Quarter</w:t>
      </w:r>
      <w:r w:rsidR="009D39DA" w:rsidRPr="00B024AC">
        <w:t xml:space="preserve"> </w:t>
      </w:r>
      <w:r w:rsidR="00182B0C" w:rsidRPr="00B024AC">
        <w:t>2</w:t>
      </w:r>
      <w:r w:rsidR="002C3ACF" w:rsidRPr="00B024AC">
        <w:t>.</w:t>
      </w:r>
    </w:p>
    <w:p w14:paraId="57D29A2D" w14:textId="4B192578" w:rsidR="00114F83" w:rsidRDefault="0035406A" w:rsidP="000A2CF3">
      <w:pPr>
        <w:pStyle w:val="ListParagraph"/>
        <w:keepNext/>
        <w:numPr>
          <w:ilvl w:val="1"/>
          <w:numId w:val="138"/>
        </w:numPr>
        <w:tabs>
          <w:tab w:val="left" w:pos="284"/>
        </w:tabs>
        <w:spacing w:after="240"/>
        <w:ind w:left="648" w:hanging="648"/>
        <w:jc w:val="both"/>
        <w:outlineLvl w:val="1"/>
      </w:pPr>
      <w:r>
        <w:t xml:space="preserve">The </w:t>
      </w:r>
      <w:r w:rsidR="00F066C5">
        <w:t>Resources and Commercial directorate is forecasting an under</w:t>
      </w:r>
      <w:r w:rsidR="003D4E32">
        <w:t xml:space="preserve"> </w:t>
      </w:r>
      <w:r w:rsidR="00F066C5">
        <w:t>spend of</w:t>
      </w:r>
      <w:r w:rsidR="005108A7">
        <w:t xml:space="preserve"> (</w:t>
      </w:r>
      <w:r w:rsidR="00F066C5">
        <w:t>£</w:t>
      </w:r>
      <w:r w:rsidR="00CB01F5">
        <w:t>0.</w:t>
      </w:r>
      <w:r w:rsidR="00F066C5">
        <w:t>250</w:t>
      </w:r>
      <w:r w:rsidR="00CB01F5">
        <w:t>m</w:t>
      </w:r>
      <w:r w:rsidR="00410C9C">
        <w:t>) mainly</w:t>
      </w:r>
      <w:r w:rsidR="005108A7">
        <w:t xml:space="preserve"> on income generation and efficienc</w:t>
      </w:r>
      <w:r w:rsidR="00EB620E">
        <w:t>ies</w:t>
      </w:r>
      <w:r w:rsidR="00F066C5">
        <w:t xml:space="preserve">. </w:t>
      </w:r>
      <w:r>
        <w:t xml:space="preserve">The </w:t>
      </w:r>
      <w:r w:rsidR="00BE09C5">
        <w:t>Children</w:t>
      </w:r>
      <w:r w:rsidR="00A53151">
        <w:t>’s</w:t>
      </w:r>
      <w:r w:rsidR="00BE09C5">
        <w:t xml:space="preserve"> division</w:t>
      </w:r>
      <w:r w:rsidR="004049E4" w:rsidRPr="004049E4">
        <w:t xml:space="preserve"> is forecasting</w:t>
      </w:r>
      <w:r w:rsidR="000F5D6F">
        <w:t xml:space="preserve"> net</w:t>
      </w:r>
      <w:r w:rsidR="004049E4" w:rsidRPr="004049E4">
        <w:t xml:space="preserve"> </w:t>
      </w:r>
      <w:r w:rsidR="009102CE">
        <w:t xml:space="preserve">demand </w:t>
      </w:r>
      <w:r w:rsidR="009102CE" w:rsidRPr="004049E4">
        <w:t>pressures</w:t>
      </w:r>
      <w:r w:rsidR="004049E4" w:rsidRPr="004049E4">
        <w:t xml:space="preserve"> estimated at £</w:t>
      </w:r>
      <w:r w:rsidR="00410C9C">
        <w:t>2.8</w:t>
      </w:r>
      <w:r w:rsidR="004049E4" w:rsidRPr="004049E4">
        <w:t>m</w:t>
      </w:r>
      <w:r w:rsidR="00A53151">
        <w:t>,</w:t>
      </w:r>
      <w:r w:rsidR="00CC4968">
        <w:t xml:space="preserve"> a reduction of £</w:t>
      </w:r>
      <w:r w:rsidR="00CB01F5">
        <w:t>0.</w:t>
      </w:r>
      <w:r w:rsidR="00182B0C">
        <w:t>221</w:t>
      </w:r>
      <w:r w:rsidR="00CB01F5">
        <w:t>m</w:t>
      </w:r>
      <w:r w:rsidR="00CC4968">
        <w:t xml:space="preserve"> from </w:t>
      </w:r>
      <w:r w:rsidR="002C3ACF">
        <w:t xml:space="preserve">Quarter </w:t>
      </w:r>
      <w:r w:rsidR="00182B0C">
        <w:t>2</w:t>
      </w:r>
      <w:r w:rsidR="009D39DA">
        <w:t>. Adult</w:t>
      </w:r>
      <w:r w:rsidR="002C3ACF">
        <w:t xml:space="preserve"> service</w:t>
      </w:r>
      <w:r w:rsidR="009D39DA">
        <w:t>s are</w:t>
      </w:r>
      <w:r w:rsidR="002C3ACF">
        <w:t xml:space="preserve"> forecasting</w:t>
      </w:r>
      <w:r w:rsidR="009D39DA">
        <w:t xml:space="preserve"> a</w:t>
      </w:r>
      <w:r w:rsidR="002C3ACF">
        <w:t xml:space="preserve"> </w:t>
      </w:r>
      <w:r w:rsidR="00635E37">
        <w:t>purchasing pressure</w:t>
      </w:r>
      <w:r w:rsidR="009D39DA">
        <w:t xml:space="preserve"> of</w:t>
      </w:r>
      <w:r w:rsidR="00635E37">
        <w:t xml:space="preserve"> £</w:t>
      </w:r>
      <w:r w:rsidR="00CB01F5">
        <w:t>0.</w:t>
      </w:r>
      <w:r w:rsidR="00635E37">
        <w:t>439</w:t>
      </w:r>
      <w:r w:rsidR="00CB01F5">
        <w:t>m</w:t>
      </w:r>
      <w:r w:rsidR="000C69EC">
        <w:t xml:space="preserve"> in line with Quarter 2</w:t>
      </w:r>
      <w:r w:rsidR="00900E12">
        <w:t>.</w:t>
      </w:r>
      <w:r w:rsidR="00114F83" w:rsidRPr="0033220C">
        <w:t xml:space="preserve"> </w:t>
      </w:r>
      <w:r w:rsidR="009D39DA" w:rsidRPr="0033220C">
        <w:t xml:space="preserve">The </w:t>
      </w:r>
      <w:r w:rsidR="00635E37" w:rsidRPr="0033220C">
        <w:t>Community direc</w:t>
      </w:r>
      <w:r w:rsidR="00635E37">
        <w:t xml:space="preserve">torate </w:t>
      </w:r>
      <w:r w:rsidR="009D39DA">
        <w:t>are reporting a forecast</w:t>
      </w:r>
      <w:r w:rsidR="00635E37">
        <w:t xml:space="preserve"> pressure of £</w:t>
      </w:r>
      <w:r w:rsidR="00CB01F5">
        <w:t>0.</w:t>
      </w:r>
      <w:r w:rsidR="00635360">
        <w:t>8</w:t>
      </w:r>
      <w:r w:rsidR="00EC704C">
        <w:t>22</w:t>
      </w:r>
      <w:r w:rsidR="00CB01F5">
        <w:t>m</w:t>
      </w:r>
      <w:r w:rsidR="00635360">
        <w:t>, an increase in forecast of £</w:t>
      </w:r>
      <w:r w:rsidR="00CB01F5">
        <w:t>0.</w:t>
      </w:r>
      <w:r w:rsidR="00635360">
        <w:t>39</w:t>
      </w:r>
      <w:r w:rsidR="00EC704C">
        <w:t>4</w:t>
      </w:r>
      <w:r w:rsidR="00CB01F5">
        <w:t>m</w:t>
      </w:r>
      <w:r w:rsidR="00EB620E">
        <w:t xml:space="preserve"> when compared to Q2</w:t>
      </w:r>
      <w:r w:rsidR="0023037D">
        <w:t xml:space="preserve"> due to unachievable property </w:t>
      </w:r>
      <w:r w:rsidR="004E66A5">
        <w:t>acquisition savings</w:t>
      </w:r>
      <w:r w:rsidR="009D39DA">
        <w:t>.</w:t>
      </w:r>
      <w:r w:rsidR="00B22532">
        <w:t xml:space="preserve"> </w:t>
      </w:r>
    </w:p>
    <w:p w14:paraId="2EDDC517" w14:textId="2A06AD1F" w:rsidR="004E66A5" w:rsidRPr="00B024AC" w:rsidRDefault="004049E4" w:rsidP="000A2CF3">
      <w:pPr>
        <w:pStyle w:val="ListParagraph"/>
        <w:keepNext/>
        <w:numPr>
          <w:ilvl w:val="1"/>
          <w:numId w:val="138"/>
        </w:numPr>
        <w:tabs>
          <w:tab w:val="left" w:pos="284"/>
        </w:tabs>
        <w:spacing w:after="240"/>
        <w:ind w:left="648" w:hanging="648"/>
        <w:jc w:val="both"/>
        <w:outlineLvl w:val="1"/>
      </w:pPr>
      <w:r w:rsidRPr="00B024AC">
        <w:t>The</w:t>
      </w:r>
      <w:r w:rsidR="002C3ACF" w:rsidRPr="00B024AC">
        <w:t xml:space="preserve"> £</w:t>
      </w:r>
      <w:r w:rsidR="005105B4" w:rsidRPr="000A3C5C">
        <w:t>3.791</w:t>
      </w:r>
      <w:r w:rsidR="002C3ACF" w:rsidRPr="00B024AC">
        <w:t>m overspends</w:t>
      </w:r>
      <w:r w:rsidRPr="00B024AC">
        <w:t xml:space="preserve"> are fully mitigated through the receipt of </w:t>
      </w:r>
      <w:r w:rsidR="007F43DF" w:rsidRPr="00B024AC">
        <w:t>a</w:t>
      </w:r>
      <w:r w:rsidRPr="00B024AC">
        <w:t xml:space="preserve">dditional income </w:t>
      </w:r>
      <w:r w:rsidR="00AC3718" w:rsidRPr="00B024AC">
        <w:t xml:space="preserve">notified after budget setting, </w:t>
      </w:r>
      <w:r w:rsidR="00A53151" w:rsidRPr="00B024AC">
        <w:t>corporate</w:t>
      </w:r>
      <w:r w:rsidRPr="00B024AC">
        <w:t xml:space="preserve"> items</w:t>
      </w:r>
      <w:r w:rsidR="00A95580" w:rsidRPr="00B024AC">
        <w:t xml:space="preserve"> </w:t>
      </w:r>
      <w:r w:rsidR="009102CE" w:rsidRPr="00B024AC">
        <w:t>and the</w:t>
      </w:r>
      <w:r w:rsidRPr="00B024AC">
        <w:t xml:space="preserve"> implementation of </w:t>
      </w:r>
      <w:r w:rsidR="00A53151" w:rsidRPr="00B024AC">
        <w:t xml:space="preserve">a </w:t>
      </w:r>
      <w:r w:rsidRPr="00B024AC">
        <w:t xml:space="preserve">spending control </w:t>
      </w:r>
      <w:r w:rsidR="00A95580" w:rsidRPr="00B024AC">
        <w:t xml:space="preserve">freeze </w:t>
      </w:r>
      <w:r w:rsidRPr="00B024AC">
        <w:t>across the organisation</w:t>
      </w:r>
      <w:r w:rsidR="004E66A5" w:rsidRPr="00B024AC">
        <w:t xml:space="preserve"> which has result</w:t>
      </w:r>
      <w:r w:rsidR="0035406A" w:rsidRPr="00B024AC">
        <w:t>ed</w:t>
      </w:r>
      <w:r w:rsidR="004E66A5" w:rsidRPr="00B024AC">
        <w:t xml:space="preserve"> in </w:t>
      </w:r>
      <w:r w:rsidR="00F034E1" w:rsidRPr="00B024AC">
        <w:t>a</w:t>
      </w:r>
      <w:r w:rsidR="00B024AC" w:rsidRPr="000A3C5C">
        <w:t xml:space="preserve"> net</w:t>
      </w:r>
      <w:r w:rsidR="00F034E1" w:rsidRPr="00B024AC">
        <w:t xml:space="preserve"> </w:t>
      </w:r>
      <w:r w:rsidR="004E66A5" w:rsidRPr="00B024AC">
        <w:t>underspend of (£1.648m)</w:t>
      </w:r>
      <w:r w:rsidRPr="00B024AC">
        <w:t>.</w:t>
      </w:r>
    </w:p>
    <w:p w14:paraId="4D62E494" w14:textId="73431378" w:rsidR="00564FB0" w:rsidRPr="008B10C1" w:rsidRDefault="00564FB0" w:rsidP="000A2CF3">
      <w:pPr>
        <w:pStyle w:val="ListParagraph"/>
        <w:keepNext/>
        <w:numPr>
          <w:ilvl w:val="1"/>
          <w:numId w:val="138"/>
        </w:numPr>
        <w:tabs>
          <w:tab w:val="left" w:pos="284"/>
        </w:tabs>
        <w:spacing w:after="240"/>
        <w:ind w:left="648" w:hanging="648"/>
        <w:jc w:val="both"/>
        <w:outlineLvl w:val="1"/>
      </w:pPr>
      <w:r w:rsidRPr="006C0C64">
        <w:t>The capital programme is report</w:t>
      </w:r>
      <w:r w:rsidR="00AC34B2" w:rsidRPr="006C0C64">
        <w:t>ing a forecast spend of £1</w:t>
      </w:r>
      <w:r w:rsidR="006C0C64" w:rsidRPr="000A2CF3">
        <w:t>01.</w:t>
      </w:r>
      <w:r w:rsidR="005109E0">
        <w:t>962</w:t>
      </w:r>
      <w:r w:rsidRPr="006C0C64">
        <w:t>m against a budget of £</w:t>
      </w:r>
      <w:r w:rsidR="00D13CE0" w:rsidRPr="006C0C64">
        <w:t>198.231</w:t>
      </w:r>
      <w:r w:rsidRPr="006C0C64">
        <w:t xml:space="preserve">m.  This represents a total forecast spend of </w:t>
      </w:r>
      <w:r w:rsidR="006C0C64" w:rsidRPr="000A2CF3">
        <w:t>51</w:t>
      </w:r>
      <w:r w:rsidRPr="006C0C64">
        <w:t>%</w:t>
      </w:r>
      <w:r w:rsidR="009F66BE">
        <w:t xml:space="preserve">, a reduction of 32% in </w:t>
      </w:r>
      <w:r w:rsidR="00B024AC">
        <w:t xml:space="preserve">the </w:t>
      </w:r>
      <w:r w:rsidR="009F66BE">
        <w:t>forecast when compare</w:t>
      </w:r>
      <w:r w:rsidR="00FB7B2D">
        <w:t>d</w:t>
      </w:r>
      <w:r w:rsidR="009F66BE">
        <w:t xml:space="preserve"> to Quarter 2.</w:t>
      </w:r>
      <w:r w:rsidRPr="006C0C64">
        <w:t xml:space="preserve"> In terms of general fund capital, there is </w:t>
      </w:r>
      <w:r w:rsidR="009102CE" w:rsidRPr="006C0C64">
        <w:t>a</w:t>
      </w:r>
      <w:r w:rsidR="00D13CE0" w:rsidRPr="006C0C64">
        <w:t xml:space="preserve"> net</w:t>
      </w:r>
      <w:r w:rsidR="009102CE" w:rsidRPr="006C0C64">
        <w:t xml:space="preserve"> forecast </w:t>
      </w:r>
      <w:r w:rsidR="00B024AC">
        <w:t>variance</w:t>
      </w:r>
      <w:r w:rsidR="00A52A82" w:rsidRPr="006C0C64">
        <w:t xml:space="preserve"> </w:t>
      </w:r>
      <w:r w:rsidR="00D85184" w:rsidRPr="006C0C64">
        <w:t xml:space="preserve">of </w:t>
      </w:r>
      <w:r w:rsidR="00A52A82" w:rsidRPr="006C0C64">
        <w:t>(</w:t>
      </w:r>
      <w:r w:rsidR="00D85184" w:rsidRPr="006C0C64">
        <w:t>£</w:t>
      </w:r>
      <w:r w:rsidR="006C0C64" w:rsidRPr="000A2CF3">
        <w:t>77.</w:t>
      </w:r>
      <w:r w:rsidR="005109E0">
        <w:t>113</w:t>
      </w:r>
      <w:r w:rsidR="00A52A82" w:rsidRPr="006C0C64">
        <w:t xml:space="preserve">m) </w:t>
      </w:r>
      <w:r w:rsidRPr="006C0C64">
        <w:t>of which £</w:t>
      </w:r>
      <w:r w:rsidR="005109E0">
        <w:t>38.767</w:t>
      </w:r>
      <w:r w:rsidRPr="006C0C64">
        <w:t>m is requested for slippage into 2018/19</w:t>
      </w:r>
      <w:r w:rsidR="008B10C1" w:rsidRPr="006C0C64">
        <w:t xml:space="preserve"> </w:t>
      </w:r>
      <w:r w:rsidR="00700A45" w:rsidRPr="006C0C64">
        <w:t>and (£</w:t>
      </w:r>
      <w:r w:rsidR="005109E0">
        <w:t>38.346</w:t>
      </w:r>
      <w:r w:rsidR="00EB620E">
        <w:t>m</w:t>
      </w:r>
      <w:r w:rsidR="00700A45" w:rsidRPr="006C0C64">
        <w:t xml:space="preserve">) can be removed from the Capital Programme. </w:t>
      </w:r>
      <w:r w:rsidR="00A52A82" w:rsidRPr="006C0C64">
        <w:t>For the Housing Revenue Account</w:t>
      </w:r>
      <w:r w:rsidRPr="006C0C64">
        <w:t>,</w:t>
      </w:r>
      <w:r w:rsidR="00D15EE6" w:rsidRPr="006C0C64">
        <w:t xml:space="preserve"> </w:t>
      </w:r>
      <w:r w:rsidR="000C69EC">
        <w:t xml:space="preserve">a </w:t>
      </w:r>
      <w:r w:rsidR="00B024AC">
        <w:t>variance</w:t>
      </w:r>
      <w:r w:rsidRPr="006C0C64">
        <w:t xml:space="preserve"> of </w:t>
      </w:r>
      <w:r w:rsidR="00A52A82" w:rsidRPr="006C0C64">
        <w:t>(</w:t>
      </w:r>
      <w:r w:rsidRPr="006C0C64">
        <w:t>£1</w:t>
      </w:r>
      <w:r w:rsidR="006C0C64" w:rsidRPr="000A2CF3">
        <w:t>9.155</w:t>
      </w:r>
      <w:r w:rsidRPr="006C0C64">
        <w:t>m</w:t>
      </w:r>
      <w:r w:rsidR="00A52A82" w:rsidRPr="006C0C64">
        <w:t>)</w:t>
      </w:r>
      <w:r w:rsidRPr="006C0C64">
        <w:t xml:space="preserve"> is forecast</w:t>
      </w:r>
      <w:r w:rsidR="008B10C1" w:rsidRPr="006C0C64">
        <w:t xml:space="preserve"> of which £1</w:t>
      </w:r>
      <w:r w:rsidR="006C0C64" w:rsidRPr="000A2CF3">
        <w:t>7.192</w:t>
      </w:r>
      <w:r w:rsidR="008B10C1" w:rsidRPr="006C0C64">
        <w:t xml:space="preserve">m </w:t>
      </w:r>
      <w:r w:rsidRPr="006C0C64">
        <w:t>is requested for slippage into 2018/19</w:t>
      </w:r>
      <w:r w:rsidR="008B10C1" w:rsidRPr="006C0C64">
        <w:t xml:space="preserve"> and </w:t>
      </w:r>
      <w:r w:rsidR="00D15EE6" w:rsidRPr="006C0C64">
        <w:t>(</w:t>
      </w:r>
      <w:r w:rsidR="008B10C1" w:rsidRPr="006C0C64">
        <w:t>£1.964m</w:t>
      </w:r>
      <w:r w:rsidR="00D15EE6" w:rsidRPr="006C0C64">
        <w:t>)</w:t>
      </w:r>
      <w:r w:rsidR="008B10C1" w:rsidRPr="006C0C64">
        <w:t xml:space="preserve"> can be removed from the Capital Programme</w:t>
      </w:r>
      <w:r w:rsidRPr="006C0C64">
        <w:t>.</w:t>
      </w:r>
    </w:p>
    <w:p w14:paraId="00CDE4A5" w14:textId="1871EFC7" w:rsidR="003D61E1" w:rsidRDefault="00EC0C4D" w:rsidP="00404B4F">
      <w:pPr>
        <w:spacing w:after="240"/>
        <w:ind w:left="709"/>
        <w:jc w:val="both"/>
      </w:pPr>
      <w:r w:rsidRPr="004049E4" w:rsidDel="00EC0C4D">
        <w:t xml:space="preserve"> </w:t>
      </w:r>
      <w:r w:rsidR="00953298">
        <w:t>(Please note</w:t>
      </w:r>
      <w:r w:rsidR="00D325FE">
        <w:t>,</w:t>
      </w:r>
      <w:r w:rsidR="00953298">
        <w:t xml:space="preserve"> </w:t>
      </w:r>
      <w:r w:rsidR="00D325FE">
        <w:t>all number in brackets relates to income/underspends)</w:t>
      </w:r>
    </w:p>
    <w:p w14:paraId="23D6EF29" w14:textId="660854B8" w:rsidR="00A54694" w:rsidRPr="00CC4A15" w:rsidRDefault="008717CF" w:rsidP="00061DF9">
      <w:pPr>
        <w:pStyle w:val="ListParagraph"/>
        <w:keepNext/>
        <w:ind w:left="780"/>
        <w:outlineLvl w:val="1"/>
        <w:rPr>
          <w:bCs/>
        </w:rPr>
      </w:pPr>
      <w:r>
        <w:rPr>
          <w:bCs/>
        </w:rPr>
        <w:t xml:space="preserve">  </w:t>
      </w:r>
      <w:r w:rsidR="00D3333D">
        <w:rPr>
          <w:bCs/>
        </w:rPr>
        <w:t xml:space="preserve"> </w:t>
      </w:r>
    </w:p>
    <w:p w14:paraId="366A4BC4" w14:textId="61256709" w:rsidR="007D291B" w:rsidRDefault="00307D3F" w:rsidP="002311FF">
      <w:pPr>
        <w:pStyle w:val="ListParagraph"/>
        <w:keepNext/>
        <w:numPr>
          <w:ilvl w:val="2"/>
          <w:numId w:val="10"/>
        </w:numPr>
        <w:ind w:left="284" w:hanging="284"/>
        <w:outlineLvl w:val="1"/>
        <w:rPr>
          <w:rFonts w:cs="Arial"/>
          <w:b/>
          <w:bCs/>
          <w:kern w:val="32"/>
          <w:sz w:val="28"/>
          <w:szCs w:val="28"/>
          <w:u w:val="single"/>
        </w:rPr>
      </w:pPr>
      <w:r>
        <w:rPr>
          <w:rFonts w:cs="Arial"/>
          <w:b/>
          <w:bCs/>
          <w:kern w:val="32"/>
          <w:sz w:val="28"/>
          <w:szCs w:val="28"/>
          <w:u w:val="single"/>
        </w:rPr>
        <w:t xml:space="preserve"> </w:t>
      </w:r>
      <w:r w:rsidR="00741AEB" w:rsidRPr="00220F2C">
        <w:rPr>
          <w:rFonts w:cs="Arial"/>
          <w:b/>
          <w:bCs/>
          <w:kern w:val="32"/>
          <w:sz w:val="28"/>
          <w:szCs w:val="28"/>
          <w:u w:val="single"/>
        </w:rPr>
        <w:t>REVENUE MONITORING</w:t>
      </w:r>
    </w:p>
    <w:p w14:paraId="2A51DC8D" w14:textId="77777777" w:rsidR="004D4468" w:rsidRDefault="004D4468" w:rsidP="002F46B7">
      <w:pPr>
        <w:ind w:left="862"/>
        <w:jc w:val="both"/>
        <w:rPr>
          <w:bCs/>
        </w:rPr>
      </w:pPr>
    </w:p>
    <w:p w14:paraId="621D2C0D" w14:textId="4A9C30F6" w:rsidR="00D258AC" w:rsidRDefault="004D4468" w:rsidP="008F1A2F">
      <w:pPr>
        <w:tabs>
          <w:tab w:val="left" w:pos="709"/>
        </w:tabs>
        <w:ind w:left="708" w:hanging="708"/>
        <w:jc w:val="both"/>
        <w:rPr>
          <w:bCs/>
        </w:rPr>
      </w:pPr>
      <w:r w:rsidRPr="008F1A2F">
        <w:rPr>
          <w:bCs/>
        </w:rPr>
        <w:t>2.1</w:t>
      </w:r>
      <w:r w:rsidRPr="008F1A2F">
        <w:rPr>
          <w:bCs/>
        </w:rPr>
        <w:tab/>
      </w:r>
      <w:r w:rsidR="002F46B7" w:rsidRPr="00B024AC">
        <w:rPr>
          <w:bCs/>
        </w:rPr>
        <w:t xml:space="preserve">The </w:t>
      </w:r>
      <w:r w:rsidR="00462020" w:rsidRPr="00B024AC">
        <w:rPr>
          <w:bCs/>
        </w:rPr>
        <w:t>r</w:t>
      </w:r>
      <w:r w:rsidR="00DD3C11" w:rsidRPr="00B024AC">
        <w:rPr>
          <w:bCs/>
        </w:rPr>
        <w:t xml:space="preserve">evenue forecast position </w:t>
      </w:r>
      <w:r w:rsidR="002F46B7" w:rsidRPr="00B024AC">
        <w:rPr>
          <w:bCs/>
        </w:rPr>
        <w:t xml:space="preserve">at </w:t>
      </w:r>
      <w:r w:rsidR="00A66EE4" w:rsidRPr="00B024AC">
        <w:rPr>
          <w:bCs/>
        </w:rPr>
        <w:t>Quarter</w:t>
      </w:r>
      <w:r w:rsidR="00221287" w:rsidRPr="00B024AC">
        <w:rPr>
          <w:bCs/>
        </w:rPr>
        <w:t xml:space="preserve"> </w:t>
      </w:r>
      <w:r w:rsidR="00A11B8E" w:rsidRPr="00B024AC">
        <w:rPr>
          <w:bCs/>
        </w:rPr>
        <w:t>3</w:t>
      </w:r>
      <w:r w:rsidR="00221287" w:rsidRPr="00B024AC">
        <w:rPr>
          <w:bCs/>
        </w:rPr>
        <w:t xml:space="preserve"> </w:t>
      </w:r>
      <w:r w:rsidR="00061DF9" w:rsidRPr="00B024AC">
        <w:rPr>
          <w:bCs/>
        </w:rPr>
        <w:t>(</w:t>
      </w:r>
      <w:r w:rsidR="00290F93" w:rsidRPr="00B024AC">
        <w:rPr>
          <w:bCs/>
        </w:rPr>
        <w:t>3</w:t>
      </w:r>
      <w:r w:rsidR="00A11B8E" w:rsidRPr="00B024AC">
        <w:rPr>
          <w:bCs/>
        </w:rPr>
        <w:t>1</w:t>
      </w:r>
      <w:r w:rsidR="00A11B8E" w:rsidRPr="00B024AC">
        <w:rPr>
          <w:bCs/>
          <w:vertAlign w:val="superscript"/>
        </w:rPr>
        <w:t>st</w:t>
      </w:r>
      <w:r w:rsidR="00A66EE4" w:rsidRPr="00B024AC">
        <w:rPr>
          <w:bCs/>
        </w:rPr>
        <w:t xml:space="preserve"> </w:t>
      </w:r>
      <w:r w:rsidR="00A11B8E" w:rsidRPr="00B024AC">
        <w:rPr>
          <w:bCs/>
        </w:rPr>
        <w:t>Dec</w:t>
      </w:r>
      <w:r w:rsidR="006A633C" w:rsidRPr="00B024AC">
        <w:rPr>
          <w:bCs/>
        </w:rPr>
        <w:t>ember</w:t>
      </w:r>
      <w:r w:rsidR="00061DF9" w:rsidRPr="00B024AC">
        <w:rPr>
          <w:bCs/>
        </w:rPr>
        <w:t xml:space="preserve"> 2017) </w:t>
      </w:r>
      <w:r w:rsidR="002F46B7" w:rsidRPr="00B024AC">
        <w:rPr>
          <w:bCs/>
        </w:rPr>
        <w:t xml:space="preserve">is </w:t>
      </w:r>
      <w:r w:rsidR="00C8079C" w:rsidRPr="00B024AC">
        <w:rPr>
          <w:bCs/>
        </w:rPr>
        <w:t xml:space="preserve">showing </w:t>
      </w:r>
      <w:r w:rsidR="00DA71DF" w:rsidRPr="00B024AC">
        <w:rPr>
          <w:bCs/>
        </w:rPr>
        <w:t>a</w:t>
      </w:r>
      <w:r w:rsidR="00184871" w:rsidRPr="00B024AC">
        <w:rPr>
          <w:bCs/>
        </w:rPr>
        <w:t>n under</w:t>
      </w:r>
      <w:r w:rsidR="0035406A" w:rsidRPr="00B024AC">
        <w:rPr>
          <w:bCs/>
        </w:rPr>
        <w:t xml:space="preserve"> </w:t>
      </w:r>
      <w:r w:rsidR="00184871" w:rsidRPr="00B024AC">
        <w:rPr>
          <w:bCs/>
        </w:rPr>
        <w:t>spend of (£1.</w:t>
      </w:r>
      <w:r w:rsidR="0028318D" w:rsidRPr="00B024AC">
        <w:rPr>
          <w:bCs/>
        </w:rPr>
        <w:t>6</w:t>
      </w:r>
      <w:r w:rsidR="002C5DCD" w:rsidRPr="00B024AC">
        <w:rPr>
          <w:bCs/>
        </w:rPr>
        <w:t>48</w:t>
      </w:r>
      <w:r w:rsidR="00A11B8E" w:rsidRPr="00B024AC">
        <w:rPr>
          <w:bCs/>
        </w:rPr>
        <w:t>m</w:t>
      </w:r>
      <w:r w:rsidR="00184871" w:rsidRPr="00B024AC">
        <w:rPr>
          <w:bCs/>
        </w:rPr>
        <w:t>)</w:t>
      </w:r>
      <w:r w:rsidR="00DA71DF" w:rsidRPr="00B024AC">
        <w:rPr>
          <w:bCs/>
        </w:rPr>
        <w:t xml:space="preserve"> </w:t>
      </w:r>
      <w:r w:rsidR="002F46B7" w:rsidRPr="00B024AC">
        <w:rPr>
          <w:bCs/>
        </w:rPr>
        <w:t>a</w:t>
      </w:r>
      <w:r w:rsidR="00A95580" w:rsidRPr="00B024AC">
        <w:rPr>
          <w:bCs/>
        </w:rPr>
        <w:t xml:space="preserve">fter a </w:t>
      </w:r>
      <w:r w:rsidR="002F46B7" w:rsidRPr="00B024AC">
        <w:rPr>
          <w:bCs/>
        </w:rPr>
        <w:t>draw down from reserve</w:t>
      </w:r>
      <w:r w:rsidR="00B40A0E" w:rsidRPr="00B024AC">
        <w:rPr>
          <w:bCs/>
        </w:rPr>
        <w:t>s</w:t>
      </w:r>
      <w:r w:rsidR="002F46B7" w:rsidRPr="00B024AC">
        <w:rPr>
          <w:bCs/>
        </w:rPr>
        <w:t xml:space="preserve"> of </w:t>
      </w:r>
      <w:r w:rsidR="002F46B7" w:rsidRPr="00073D1A">
        <w:rPr>
          <w:bCs/>
        </w:rPr>
        <w:t>£</w:t>
      </w:r>
      <w:r w:rsidR="00A95580" w:rsidRPr="00903CA0">
        <w:rPr>
          <w:bCs/>
        </w:rPr>
        <w:t>2.</w:t>
      </w:r>
      <w:r w:rsidR="00635360" w:rsidRPr="00903CA0">
        <w:rPr>
          <w:bCs/>
        </w:rPr>
        <w:t>815</w:t>
      </w:r>
      <w:r w:rsidR="002F46B7" w:rsidRPr="00903CA0">
        <w:rPr>
          <w:bCs/>
        </w:rPr>
        <w:t>m</w:t>
      </w:r>
      <w:r w:rsidR="00462020" w:rsidRPr="00903CA0">
        <w:rPr>
          <w:bCs/>
        </w:rPr>
        <w:t>,</w:t>
      </w:r>
      <w:r w:rsidR="00007960" w:rsidRPr="00903CA0">
        <w:rPr>
          <w:bCs/>
        </w:rPr>
        <w:t xml:space="preserve"> </w:t>
      </w:r>
      <w:r w:rsidR="00D4537D" w:rsidRPr="00903CA0">
        <w:rPr>
          <w:bCs/>
        </w:rPr>
        <w:t xml:space="preserve">an </w:t>
      </w:r>
      <w:r w:rsidR="00B024AC" w:rsidRPr="00903CA0">
        <w:rPr>
          <w:bCs/>
        </w:rPr>
        <w:t xml:space="preserve">underspend </w:t>
      </w:r>
      <w:r w:rsidR="002F46B7" w:rsidRPr="00903CA0">
        <w:rPr>
          <w:bCs/>
        </w:rPr>
        <w:t>o</w:t>
      </w:r>
      <w:r w:rsidR="000C69EC" w:rsidRPr="00903CA0">
        <w:rPr>
          <w:bCs/>
        </w:rPr>
        <w:t>n</w:t>
      </w:r>
      <w:r w:rsidR="002F46B7" w:rsidRPr="00903CA0">
        <w:rPr>
          <w:bCs/>
        </w:rPr>
        <w:t xml:space="preserve"> </w:t>
      </w:r>
      <w:r w:rsidR="007F43DF" w:rsidRPr="00903CA0">
        <w:rPr>
          <w:bCs/>
        </w:rPr>
        <w:t>C</w:t>
      </w:r>
      <w:r w:rsidR="002F46B7" w:rsidRPr="00903CA0">
        <w:rPr>
          <w:bCs/>
        </w:rPr>
        <w:t>orporate budget</w:t>
      </w:r>
      <w:r w:rsidR="00462020" w:rsidRPr="00903CA0">
        <w:rPr>
          <w:bCs/>
        </w:rPr>
        <w:t>s</w:t>
      </w:r>
      <w:r w:rsidR="002F46B7" w:rsidRPr="00903CA0">
        <w:rPr>
          <w:bCs/>
        </w:rPr>
        <w:t xml:space="preserve"> of £</w:t>
      </w:r>
      <w:r w:rsidR="000C69EC" w:rsidRPr="00903CA0">
        <w:rPr>
          <w:bCs/>
        </w:rPr>
        <w:t>3.31</w:t>
      </w:r>
      <w:r w:rsidR="00D4537D" w:rsidRPr="00903CA0">
        <w:rPr>
          <w:bCs/>
        </w:rPr>
        <w:t>0</w:t>
      </w:r>
      <w:r w:rsidR="002F46B7" w:rsidRPr="00903CA0">
        <w:rPr>
          <w:bCs/>
        </w:rPr>
        <w:t>m</w:t>
      </w:r>
      <w:r w:rsidR="00D4537D" w:rsidRPr="00903CA0">
        <w:rPr>
          <w:bCs/>
        </w:rPr>
        <w:t>,</w:t>
      </w:r>
      <w:r w:rsidR="000C69EC" w:rsidRPr="00903CA0">
        <w:rPr>
          <w:bCs/>
        </w:rPr>
        <w:t xml:space="preserve"> income of £0.834</w:t>
      </w:r>
      <w:r w:rsidR="00B96CB9">
        <w:rPr>
          <w:bCs/>
        </w:rPr>
        <w:t>m</w:t>
      </w:r>
      <w:r w:rsidR="000C69EC" w:rsidRPr="00903CA0">
        <w:rPr>
          <w:bCs/>
        </w:rPr>
        <w:t xml:space="preserve"> received after the budget was set in February </w:t>
      </w:r>
      <w:r w:rsidR="00C8079C" w:rsidRPr="00903CA0">
        <w:rPr>
          <w:bCs/>
        </w:rPr>
        <w:t>and £1.</w:t>
      </w:r>
      <w:r w:rsidR="0028318D" w:rsidRPr="00903CA0">
        <w:rPr>
          <w:bCs/>
        </w:rPr>
        <w:t>295</w:t>
      </w:r>
      <w:r w:rsidR="00C8079C" w:rsidRPr="00903CA0">
        <w:rPr>
          <w:bCs/>
        </w:rPr>
        <w:t>m of spending controls</w:t>
      </w:r>
      <w:r w:rsidR="00D258AC" w:rsidRPr="00903CA0">
        <w:rPr>
          <w:bCs/>
        </w:rPr>
        <w:t>.</w:t>
      </w:r>
      <w:r w:rsidR="00061DF9" w:rsidRPr="00903CA0">
        <w:rPr>
          <w:bCs/>
        </w:rPr>
        <w:t xml:space="preserve"> </w:t>
      </w:r>
      <w:r w:rsidR="00A51E44" w:rsidRPr="00903CA0">
        <w:rPr>
          <w:bCs/>
        </w:rPr>
        <w:t>The (£1.648m)</w:t>
      </w:r>
      <w:r w:rsidR="00A51E44" w:rsidRPr="000A3C5C">
        <w:rPr>
          <w:bCs/>
        </w:rPr>
        <w:t xml:space="preserve"> underspend</w:t>
      </w:r>
      <w:r w:rsidR="00B024AC" w:rsidRPr="000A3C5C">
        <w:rPr>
          <w:bCs/>
        </w:rPr>
        <w:t xml:space="preserve"> will be used as a </w:t>
      </w:r>
      <w:r w:rsidR="00A51E44" w:rsidRPr="000A3C5C">
        <w:rPr>
          <w:bCs/>
        </w:rPr>
        <w:t>one-off contribution to the 2019/20</w:t>
      </w:r>
      <w:r w:rsidR="00D4537D">
        <w:rPr>
          <w:bCs/>
        </w:rPr>
        <w:t xml:space="preserve"> budget</w:t>
      </w:r>
      <w:r w:rsidR="00A51E44" w:rsidRPr="000A3C5C">
        <w:rPr>
          <w:bCs/>
        </w:rPr>
        <w:t xml:space="preserve">. </w:t>
      </w:r>
      <w:r w:rsidR="004B3306" w:rsidRPr="00B024AC">
        <w:rPr>
          <w:bCs/>
        </w:rPr>
        <w:t>The forecast</w:t>
      </w:r>
      <w:r w:rsidR="00061DF9" w:rsidRPr="00B024AC">
        <w:rPr>
          <w:bCs/>
        </w:rPr>
        <w:t xml:space="preserve"> by</w:t>
      </w:r>
      <w:r w:rsidR="00D71F83" w:rsidRPr="00B024AC">
        <w:rPr>
          <w:bCs/>
        </w:rPr>
        <w:t xml:space="preserve"> di</w:t>
      </w:r>
      <w:r w:rsidR="00072547" w:rsidRPr="00B024AC">
        <w:rPr>
          <w:bCs/>
        </w:rPr>
        <w:t xml:space="preserve">vision is detailed in </w:t>
      </w:r>
      <w:r w:rsidR="009D39DA" w:rsidRPr="00B024AC">
        <w:rPr>
          <w:bCs/>
        </w:rPr>
        <w:t>A</w:t>
      </w:r>
      <w:r w:rsidR="00072547" w:rsidRPr="00B024AC">
        <w:rPr>
          <w:bCs/>
        </w:rPr>
        <w:t>ppendix 1</w:t>
      </w:r>
      <w:r w:rsidR="00D71F83" w:rsidRPr="00B024AC">
        <w:rPr>
          <w:bCs/>
        </w:rPr>
        <w:t>.</w:t>
      </w:r>
      <w:r w:rsidR="00E44D88">
        <w:rPr>
          <w:bCs/>
        </w:rPr>
        <w:tab/>
      </w:r>
    </w:p>
    <w:p w14:paraId="0A8FC759" w14:textId="77777777" w:rsidR="004D4468" w:rsidRPr="00F92234" w:rsidRDefault="004D4468" w:rsidP="008F1A2F">
      <w:pPr>
        <w:tabs>
          <w:tab w:val="left" w:pos="709"/>
        </w:tabs>
        <w:ind w:left="708" w:hanging="708"/>
        <w:jc w:val="both"/>
      </w:pPr>
    </w:p>
    <w:p w14:paraId="142FD18E" w14:textId="0B8634FB" w:rsidR="00262389" w:rsidRDefault="00F034E1" w:rsidP="008F1A2F">
      <w:pPr>
        <w:ind w:right="185"/>
        <w:jc w:val="both"/>
      </w:pPr>
      <w:r>
        <w:t>2.</w:t>
      </w:r>
      <w:r w:rsidR="00114F83">
        <w:t>2</w:t>
      </w:r>
      <w:r w:rsidR="004D4468">
        <w:tab/>
      </w:r>
      <w:r w:rsidR="001B7156">
        <w:t xml:space="preserve">A summary of the </w:t>
      </w:r>
      <w:r w:rsidR="00A66EE4">
        <w:t xml:space="preserve">Quarter </w:t>
      </w:r>
      <w:r w:rsidR="004E7206">
        <w:t>3</w:t>
      </w:r>
      <w:r w:rsidR="00B54070">
        <w:t xml:space="preserve"> monitoring is shown in table</w:t>
      </w:r>
      <w:r w:rsidR="006D5C47">
        <w:t xml:space="preserve"> 1</w:t>
      </w:r>
      <w:r w:rsidR="00B54070">
        <w:t xml:space="preserve"> below:</w:t>
      </w:r>
    </w:p>
    <w:p w14:paraId="08775D40" w14:textId="77777777" w:rsidR="007D291B" w:rsidRDefault="007D291B" w:rsidP="007D291B">
      <w:pPr>
        <w:pStyle w:val="ListParagraph"/>
        <w:ind w:left="689"/>
        <w:jc w:val="both"/>
      </w:pPr>
    </w:p>
    <w:p w14:paraId="6CF522C3" w14:textId="3B5565C3" w:rsidR="00A52A82" w:rsidRDefault="00A52A82" w:rsidP="007D291B">
      <w:pPr>
        <w:pStyle w:val="ListParagraph"/>
        <w:ind w:left="689"/>
        <w:jc w:val="both"/>
      </w:pPr>
    </w:p>
    <w:p w14:paraId="1343943E" w14:textId="77777777" w:rsidR="00A52A82" w:rsidRDefault="00A52A82" w:rsidP="007D291B">
      <w:pPr>
        <w:pStyle w:val="ListParagraph"/>
        <w:ind w:left="689"/>
        <w:jc w:val="both"/>
      </w:pPr>
    </w:p>
    <w:p w14:paraId="229ADCAD" w14:textId="589DCA8A" w:rsidR="00A52A82" w:rsidRDefault="00A52A82" w:rsidP="007D291B">
      <w:pPr>
        <w:pStyle w:val="ListParagraph"/>
        <w:ind w:left="689"/>
        <w:jc w:val="both"/>
      </w:pPr>
    </w:p>
    <w:p w14:paraId="7A8506ED" w14:textId="77777777" w:rsidR="003D0738" w:rsidRDefault="003D0738" w:rsidP="00777CCB">
      <w:pPr>
        <w:ind w:firstLine="709"/>
        <w:rPr>
          <w:rFonts w:cs="Arial"/>
          <w:b/>
          <w:u w:val="single"/>
        </w:rPr>
      </w:pPr>
    </w:p>
    <w:p w14:paraId="1ADCF8D2" w14:textId="136F3F74" w:rsidR="00741AEB" w:rsidRDefault="00DA71DF" w:rsidP="00777CCB">
      <w:pPr>
        <w:ind w:firstLine="709"/>
        <w:rPr>
          <w:rFonts w:cs="Arial"/>
          <w:b/>
          <w:u w:val="single"/>
        </w:rPr>
      </w:pPr>
      <w:r>
        <w:rPr>
          <w:rFonts w:cs="Arial"/>
          <w:b/>
          <w:u w:val="single"/>
        </w:rPr>
        <w:t xml:space="preserve">Table </w:t>
      </w:r>
      <w:r w:rsidR="00BC12ED">
        <w:rPr>
          <w:rFonts w:cs="Arial"/>
          <w:b/>
          <w:u w:val="single"/>
        </w:rPr>
        <w:t>1</w:t>
      </w:r>
      <w:r w:rsidR="00741AEB" w:rsidRPr="006B1DE1">
        <w:rPr>
          <w:rFonts w:cs="Arial"/>
          <w:b/>
          <w:u w:val="single"/>
        </w:rPr>
        <w:t xml:space="preserve">: Revenue Monitoring – </w:t>
      </w:r>
      <w:r w:rsidR="00290F93">
        <w:rPr>
          <w:rFonts w:cs="Arial"/>
          <w:b/>
          <w:u w:val="single"/>
        </w:rPr>
        <w:t xml:space="preserve"> as at </w:t>
      </w:r>
      <w:r w:rsidR="003F0DB6">
        <w:rPr>
          <w:rFonts w:cs="Arial"/>
          <w:b/>
          <w:u w:val="single"/>
        </w:rPr>
        <w:t>3</w:t>
      </w:r>
      <w:r w:rsidR="004E7206">
        <w:rPr>
          <w:rFonts w:cs="Arial"/>
          <w:b/>
          <w:u w:val="single"/>
        </w:rPr>
        <w:t>1</w:t>
      </w:r>
      <w:r w:rsidR="004E7206">
        <w:rPr>
          <w:rFonts w:cs="Arial"/>
          <w:b/>
          <w:u w:val="single"/>
          <w:vertAlign w:val="superscript"/>
        </w:rPr>
        <w:t>st</w:t>
      </w:r>
      <w:r w:rsidR="003F0DB6">
        <w:rPr>
          <w:rFonts w:cs="Arial"/>
          <w:b/>
          <w:u w:val="single"/>
        </w:rPr>
        <w:t xml:space="preserve"> </w:t>
      </w:r>
      <w:r w:rsidR="005B565C">
        <w:rPr>
          <w:rFonts w:cs="Arial"/>
          <w:b/>
          <w:u w:val="single"/>
        </w:rPr>
        <w:t>Dec</w:t>
      </w:r>
      <w:r w:rsidR="006A633C">
        <w:rPr>
          <w:rFonts w:cs="Arial"/>
          <w:b/>
          <w:u w:val="single"/>
        </w:rPr>
        <w:t>ember</w:t>
      </w:r>
      <w:r w:rsidR="003F0DB6">
        <w:rPr>
          <w:rFonts w:cs="Arial"/>
          <w:b/>
          <w:u w:val="single"/>
        </w:rPr>
        <w:t xml:space="preserve"> 2017 </w:t>
      </w:r>
      <w:r w:rsidR="00741AEB" w:rsidRPr="006B1DE1">
        <w:rPr>
          <w:rFonts w:cs="Arial"/>
          <w:b/>
          <w:u w:val="single"/>
        </w:rPr>
        <w:t xml:space="preserve"> </w:t>
      </w:r>
    </w:p>
    <w:p w14:paraId="3F7A5D9A" w14:textId="54B34173" w:rsidR="008C2D80" w:rsidRDefault="005105B4" w:rsidP="00777CCB">
      <w:pPr>
        <w:ind w:firstLine="709"/>
        <w:rPr>
          <w:rFonts w:cs="Arial"/>
          <w:b/>
          <w:u w:val="single"/>
        </w:rPr>
      </w:pPr>
      <w:r w:rsidRPr="005105B4">
        <w:rPr>
          <w:noProof/>
          <w:lang w:eastAsia="en-GB"/>
        </w:rPr>
        <w:drawing>
          <wp:inline distT="0" distB="0" distL="0" distR="0" wp14:anchorId="689B829D" wp14:editId="0EA33722">
            <wp:extent cx="4907280" cy="477012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1678" cy="4774395"/>
                    </a:xfrm>
                    <a:prstGeom prst="rect">
                      <a:avLst/>
                    </a:prstGeom>
                    <a:noFill/>
                    <a:ln>
                      <a:noFill/>
                    </a:ln>
                  </pic:spPr>
                </pic:pic>
              </a:graphicData>
            </a:graphic>
          </wp:inline>
        </w:drawing>
      </w:r>
    </w:p>
    <w:p w14:paraId="152DF19E" w14:textId="2DE1FD30" w:rsidR="00D97004" w:rsidRDefault="00D97004" w:rsidP="00072547">
      <w:pPr>
        <w:ind w:firstLine="709"/>
        <w:rPr>
          <w:rFonts w:cs="Arial"/>
          <w:b/>
          <w:u w:val="single"/>
        </w:rPr>
      </w:pPr>
    </w:p>
    <w:p w14:paraId="6C903859" w14:textId="77777777" w:rsidR="00E07305" w:rsidRDefault="00E07305" w:rsidP="00072547">
      <w:pPr>
        <w:ind w:firstLine="709"/>
        <w:rPr>
          <w:rFonts w:cs="Arial"/>
          <w:b/>
          <w:u w:val="single"/>
        </w:rPr>
      </w:pPr>
    </w:p>
    <w:p w14:paraId="73CE90B6" w14:textId="77777777" w:rsidR="00E07305" w:rsidRDefault="00E07305" w:rsidP="00072547">
      <w:pPr>
        <w:ind w:firstLine="709"/>
        <w:rPr>
          <w:rFonts w:cs="Arial"/>
          <w:b/>
          <w:u w:val="single"/>
        </w:rPr>
      </w:pPr>
    </w:p>
    <w:p w14:paraId="48192011" w14:textId="3B1D8BD8" w:rsidR="00850216" w:rsidRDefault="00741AEB" w:rsidP="00CB1B58">
      <w:pPr>
        <w:spacing w:after="240"/>
        <w:ind w:right="488" w:firstLine="709"/>
        <w:jc w:val="both"/>
        <w:rPr>
          <w:b/>
          <w:u w:val="single"/>
        </w:rPr>
      </w:pPr>
      <w:r w:rsidRPr="008A73C4">
        <w:rPr>
          <w:b/>
          <w:u w:val="single"/>
        </w:rPr>
        <w:t>R</w:t>
      </w:r>
      <w:r w:rsidR="00D30E09">
        <w:rPr>
          <w:b/>
          <w:u w:val="single"/>
        </w:rPr>
        <w:t>ESOURCES</w:t>
      </w:r>
      <w:r w:rsidR="00DE139F">
        <w:rPr>
          <w:b/>
          <w:u w:val="single"/>
        </w:rPr>
        <w:t xml:space="preserve"> AND COMMERCIAL</w:t>
      </w:r>
    </w:p>
    <w:p w14:paraId="1618652B" w14:textId="430B7664" w:rsidR="001347B9" w:rsidRDefault="00520D2A" w:rsidP="00CB1B58">
      <w:pPr>
        <w:spacing w:after="240"/>
        <w:ind w:right="488" w:firstLine="720"/>
        <w:jc w:val="both"/>
        <w:rPr>
          <w:b/>
          <w:u w:val="single"/>
        </w:rPr>
      </w:pPr>
      <w:r>
        <w:rPr>
          <w:b/>
          <w:u w:val="single"/>
        </w:rPr>
        <w:t xml:space="preserve">Table </w:t>
      </w:r>
      <w:r w:rsidR="00BC12ED">
        <w:rPr>
          <w:b/>
          <w:u w:val="single"/>
        </w:rPr>
        <w:t>2</w:t>
      </w:r>
      <w:r w:rsidR="00DE139F">
        <w:rPr>
          <w:b/>
          <w:u w:val="single"/>
        </w:rPr>
        <w:t>:</w:t>
      </w:r>
      <w:r w:rsidR="001347B9" w:rsidRPr="00A533C8">
        <w:rPr>
          <w:b/>
          <w:u w:val="single"/>
        </w:rPr>
        <w:t xml:space="preserve"> Resources &amp; Commercial</w:t>
      </w:r>
      <w:r w:rsidR="00A533C8" w:rsidRPr="00A533C8">
        <w:rPr>
          <w:b/>
          <w:u w:val="single"/>
        </w:rPr>
        <w:t xml:space="preserve"> Variance</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724"/>
        <w:gridCol w:w="1724"/>
      </w:tblGrid>
      <w:tr w:rsidR="003F0DB6" w:rsidRPr="006F278D" w14:paraId="424AD183" w14:textId="3D2C6097" w:rsidTr="00CB1B58">
        <w:trPr>
          <w:trHeight w:val="654"/>
        </w:trPr>
        <w:tc>
          <w:tcPr>
            <w:tcW w:w="2226" w:type="dxa"/>
            <w:shd w:val="clear" w:color="auto" w:fill="auto"/>
          </w:tcPr>
          <w:p w14:paraId="1B6CCED8" w14:textId="51BAEF2E" w:rsidR="003F0DB6" w:rsidRPr="006F278D" w:rsidRDefault="00864530" w:rsidP="00BB0A57">
            <w:r>
              <w:t xml:space="preserve">      Quarter </w:t>
            </w:r>
            <w:r w:rsidR="005B565C">
              <w:t>3</w:t>
            </w:r>
          </w:p>
          <w:p w14:paraId="3847F489" w14:textId="0DDAD988" w:rsidR="003F0DB6" w:rsidRPr="006F278D" w:rsidRDefault="003F0DB6" w:rsidP="006F278D">
            <w:pPr>
              <w:jc w:val="center"/>
            </w:pPr>
            <w:r w:rsidRPr="006F278D">
              <w:t>Variance</w:t>
            </w:r>
          </w:p>
          <w:p w14:paraId="3B7CEADC" w14:textId="77777777" w:rsidR="003F0DB6" w:rsidRPr="006F278D" w:rsidRDefault="003F0DB6" w:rsidP="006F278D">
            <w:pPr>
              <w:jc w:val="center"/>
            </w:pPr>
            <w:r w:rsidRPr="006F278D">
              <w:t>£000</w:t>
            </w:r>
          </w:p>
        </w:tc>
        <w:tc>
          <w:tcPr>
            <w:tcW w:w="1724" w:type="dxa"/>
          </w:tcPr>
          <w:p w14:paraId="7B6FC7E3" w14:textId="0B76A243" w:rsidR="003F0DB6" w:rsidRDefault="00BF75ED" w:rsidP="006F278D">
            <w:pPr>
              <w:jc w:val="center"/>
            </w:pPr>
            <w:r>
              <w:t>Quarter</w:t>
            </w:r>
            <w:r w:rsidR="00864530">
              <w:t xml:space="preserve"> </w:t>
            </w:r>
            <w:r w:rsidR="005B565C">
              <w:t>2</w:t>
            </w:r>
            <w:r w:rsidR="00864530">
              <w:t xml:space="preserve"> Variance</w:t>
            </w:r>
          </w:p>
        </w:tc>
        <w:tc>
          <w:tcPr>
            <w:tcW w:w="1724" w:type="dxa"/>
          </w:tcPr>
          <w:p w14:paraId="6A825C0B" w14:textId="438F01B3" w:rsidR="003F0DB6" w:rsidRDefault="00864530" w:rsidP="00E528A2">
            <w:pPr>
              <w:jc w:val="center"/>
            </w:pPr>
            <w:r>
              <w:t xml:space="preserve">Movement between Quarter </w:t>
            </w:r>
            <w:r w:rsidR="000A1736">
              <w:t>3</w:t>
            </w:r>
            <w:r>
              <w:t xml:space="preserve"> and </w:t>
            </w:r>
            <w:r w:rsidR="00BF75ED">
              <w:t xml:space="preserve">Quarter </w:t>
            </w:r>
            <w:r w:rsidR="000A1736">
              <w:t>2</w:t>
            </w:r>
            <w:r>
              <w:t xml:space="preserve"> </w:t>
            </w:r>
          </w:p>
        </w:tc>
      </w:tr>
      <w:tr w:rsidR="003F0DB6" w:rsidRPr="006F278D" w14:paraId="02285F43" w14:textId="2611FBA6" w:rsidTr="00CB1B58">
        <w:trPr>
          <w:trHeight w:val="285"/>
        </w:trPr>
        <w:tc>
          <w:tcPr>
            <w:tcW w:w="2226" w:type="dxa"/>
            <w:shd w:val="clear" w:color="auto" w:fill="auto"/>
          </w:tcPr>
          <w:p w14:paraId="4B547564" w14:textId="26EC7919" w:rsidR="003F0DB6" w:rsidRPr="006F278D" w:rsidRDefault="005B565C" w:rsidP="006F278D">
            <w:pPr>
              <w:jc w:val="center"/>
            </w:pPr>
            <w:r>
              <w:t>(250)</w:t>
            </w:r>
          </w:p>
        </w:tc>
        <w:tc>
          <w:tcPr>
            <w:tcW w:w="1724" w:type="dxa"/>
          </w:tcPr>
          <w:p w14:paraId="5D399F0B" w14:textId="58EE88AD" w:rsidR="003F0DB6" w:rsidRPr="006F278D" w:rsidRDefault="005B565C" w:rsidP="006F278D">
            <w:pPr>
              <w:jc w:val="center"/>
            </w:pPr>
            <w:r>
              <w:t>12</w:t>
            </w:r>
          </w:p>
        </w:tc>
        <w:tc>
          <w:tcPr>
            <w:tcW w:w="1724" w:type="dxa"/>
          </w:tcPr>
          <w:p w14:paraId="1AEFC721" w14:textId="51FE3175" w:rsidR="003F0DB6" w:rsidRPr="006F278D" w:rsidRDefault="005B565C" w:rsidP="006F278D">
            <w:pPr>
              <w:jc w:val="center"/>
            </w:pPr>
            <w:r>
              <w:t>(262)</w:t>
            </w:r>
          </w:p>
        </w:tc>
      </w:tr>
    </w:tbl>
    <w:p w14:paraId="67480463" w14:textId="56156AD1" w:rsidR="008203D5" w:rsidRDefault="00521915" w:rsidP="00D645B0">
      <w:r>
        <w:tab/>
      </w:r>
    </w:p>
    <w:p w14:paraId="3AE5D131" w14:textId="604104C5" w:rsidR="00E528A2" w:rsidRDefault="00D92878" w:rsidP="000A2CF3">
      <w:pPr>
        <w:pStyle w:val="ListParagraph"/>
        <w:numPr>
          <w:ilvl w:val="1"/>
          <w:numId w:val="70"/>
        </w:numPr>
        <w:spacing w:after="120"/>
        <w:ind w:left="709" w:hanging="709"/>
        <w:jc w:val="both"/>
        <w:rPr>
          <w:bCs/>
        </w:rPr>
      </w:pPr>
      <w:bookmarkStart w:id="0" w:name="_Toc372706214"/>
      <w:r w:rsidRPr="00CB1B58">
        <w:rPr>
          <w:bCs/>
        </w:rPr>
        <w:t xml:space="preserve">At Quarter </w:t>
      </w:r>
      <w:r w:rsidR="005B565C">
        <w:rPr>
          <w:bCs/>
        </w:rPr>
        <w:t>3</w:t>
      </w:r>
      <w:r w:rsidR="0035406A">
        <w:rPr>
          <w:bCs/>
        </w:rPr>
        <w:t>,</w:t>
      </w:r>
      <w:r w:rsidR="008D540C" w:rsidRPr="00CB1B58">
        <w:rPr>
          <w:bCs/>
        </w:rPr>
        <w:t xml:space="preserve"> Resources </w:t>
      </w:r>
      <w:r w:rsidR="00E528A2">
        <w:rPr>
          <w:bCs/>
        </w:rPr>
        <w:t xml:space="preserve">Directorate </w:t>
      </w:r>
      <w:r w:rsidR="008D540C" w:rsidRPr="00CB1B58">
        <w:rPr>
          <w:bCs/>
        </w:rPr>
        <w:t>is forecasting a</w:t>
      </w:r>
      <w:r w:rsidR="00BF75ED" w:rsidRPr="00CB1B58">
        <w:rPr>
          <w:bCs/>
        </w:rPr>
        <w:t xml:space="preserve">n </w:t>
      </w:r>
      <w:r w:rsidR="005B565C">
        <w:rPr>
          <w:bCs/>
        </w:rPr>
        <w:t>under</w:t>
      </w:r>
      <w:r w:rsidR="00FE7726">
        <w:rPr>
          <w:bCs/>
        </w:rPr>
        <w:t xml:space="preserve"> </w:t>
      </w:r>
      <w:r w:rsidR="005B565C">
        <w:rPr>
          <w:bCs/>
        </w:rPr>
        <w:t xml:space="preserve">spend </w:t>
      </w:r>
      <w:r w:rsidR="00BF75ED" w:rsidRPr="00CB1B58">
        <w:rPr>
          <w:bCs/>
        </w:rPr>
        <w:t xml:space="preserve">of </w:t>
      </w:r>
      <w:r w:rsidR="005B565C">
        <w:rPr>
          <w:bCs/>
        </w:rPr>
        <w:t>(</w:t>
      </w:r>
      <w:r w:rsidR="00BF75ED" w:rsidRPr="00CB1B58">
        <w:rPr>
          <w:bCs/>
        </w:rPr>
        <w:t>£</w:t>
      </w:r>
      <w:r w:rsidR="00CB01F5">
        <w:rPr>
          <w:bCs/>
        </w:rPr>
        <w:t>0.</w:t>
      </w:r>
      <w:r w:rsidR="005B565C">
        <w:rPr>
          <w:bCs/>
        </w:rPr>
        <w:t>250</w:t>
      </w:r>
      <w:r w:rsidR="00CB01F5">
        <w:rPr>
          <w:bCs/>
        </w:rPr>
        <w:t>m</w:t>
      </w:r>
      <w:r w:rsidR="005B565C">
        <w:rPr>
          <w:bCs/>
        </w:rPr>
        <w:t>)</w:t>
      </w:r>
      <w:r w:rsidR="00BF75ED" w:rsidRPr="00CB1B58">
        <w:rPr>
          <w:bCs/>
        </w:rPr>
        <w:t xml:space="preserve"> for</w:t>
      </w:r>
      <w:r w:rsidR="008D540C" w:rsidRPr="00CB1B58">
        <w:rPr>
          <w:bCs/>
        </w:rPr>
        <w:t xml:space="preserve"> the</w:t>
      </w:r>
      <w:r w:rsidR="008815D5" w:rsidRPr="00CB1B58">
        <w:rPr>
          <w:bCs/>
        </w:rPr>
        <w:t xml:space="preserve"> </w:t>
      </w:r>
      <w:r w:rsidR="008D540C" w:rsidRPr="00CB1B58">
        <w:rPr>
          <w:bCs/>
        </w:rPr>
        <w:t xml:space="preserve">2017/18 financial year. </w:t>
      </w:r>
    </w:p>
    <w:p w14:paraId="7C3B17CE" w14:textId="186C79DA" w:rsidR="00E528A2" w:rsidRPr="007502EB" w:rsidRDefault="00E528A2" w:rsidP="000A2CF3">
      <w:pPr>
        <w:pStyle w:val="ListParagraph"/>
        <w:numPr>
          <w:ilvl w:val="1"/>
          <w:numId w:val="70"/>
        </w:numPr>
        <w:spacing w:after="120"/>
        <w:ind w:left="709" w:hanging="709"/>
        <w:jc w:val="both"/>
        <w:rPr>
          <w:bCs/>
        </w:rPr>
      </w:pPr>
      <w:r w:rsidRPr="0035406A">
        <w:rPr>
          <w:bCs/>
        </w:rPr>
        <w:t>The net movement of (£</w:t>
      </w:r>
      <w:r w:rsidR="00CB01F5">
        <w:rPr>
          <w:bCs/>
        </w:rPr>
        <w:t>0.</w:t>
      </w:r>
      <w:r w:rsidRPr="0035406A">
        <w:rPr>
          <w:bCs/>
        </w:rPr>
        <w:t>262</w:t>
      </w:r>
      <w:r w:rsidR="00CB01F5">
        <w:rPr>
          <w:bCs/>
        </w:rPr>
        <w:t>m</w:t>
      </w:r>
      <w:r w:rsidRPr="0035406A">
        <w:rPr>
          <w:bCs/>
        </w:rPr>
        <w:t xml:space="preserve">) in Q3 from the overspend position of £12k in Q2 relates mainly to </w:t>
      </w:r>
      <w:r w:rsidR="0035406A">
        <w:rPr>
          <w:bCs/>
        </w:rPr>
        <w:t xml:space="preserve">the </w:t>
      </w:r>
      <w:r w:rsidRPr="0035406A">
        <w:rPr>
          <w:bCs/>
        </w:rPr>
        <w:t>Leg</w:t>
      </w:r>
      <w:r w:rsidRPr="005D6E31">
        <w:rPr>
          <w:bCs/>
        </w:rPr>
        <w:t>al and Governance division reporting an increase in externally generated income of (£</w:t>
      </w:r>
      <w:r w:rsidR="00CB01F5">
        <w:rPr>
          <w:bCs/>
        </w:rPr>
        <w:t>0.</w:t>
      </w:r>
      <w:r w:rsidRPr="005D6E31">
        <w:rPr>
          <w:bCs/>
        </w:rPr>
        <w:t>139</w:t>
      </w:r>
      <w:r w:rsidR="00CB01F5">
        <w:rPr>
          <w:bCs/>
        </w:rPr>
        <w:t>m</w:t>
      </w:r>
      <w:r w:rsidRPr="005D6E31">
        <w:rPr>
          <w:bCs/>
        </w:rPr>
        <w:t>) and the Finance division reporting (£</w:t>
      </w:r>
      <w:r w:rsidR="00CB01F5">
        <w:rPr>
          <w:bCs/>
        </w:rPr>
        <w:t>0.</w:t>
      </w:r>
      <w:r w:rsidRPr="005D6E31">
        <w:rPr>
          <w:bCs/>
        </w:rPr>
        <w:t>137</w:t>
      </w:r>
      <w:r w:rsidR="00CB01F5">
        <w:rPr>
          <w:bCs/>
        </w:rPr>
        <w:t>m</w:t>
      </w:r>
      <w:r w:rsidRPr="005D6E31">
        <w:rPr>
          <w:bCs/>
        </w:rPr>
        <w:t>) decreased costs primarily  as a result of reduction in insurance premium</w:t>
      </w:r>
      <w:r w:rsidR="000C69EC">
        <w:rPr>
          <w:bCs/>
        </w:rPr>
        <w:t>s</w:t>
      </w:r>
      <w:r w:rsidRPr="005D6E31">
        <w:rPr>
          <w:bCs/>
        </w:rPr>
        <w:t>. The net balance of £</w:t>
      </w:r>
      <w:r w:rsidR="00CB01F5">
        <w:rPr>
          <w:bCs/>
        </w:rPr>
        <w:t>0.0</w:t>
      </w:r>
      <w:r w:rsidRPr="005D6E31">
        <w:rPr>
          <w:bCs/>
        </w:rPr>
        <w:t>13</w:t>
      </w:r>
      <w:r w:rsidR="00CB01F5">
        <w:rPr>
          <w:bCs/>
        </w:rPr>
        <w:t>m</w:t>
      </w:r>
      <w:r w:rsidRPr="005D6E31">
        <w:rPr>
          <w:bCs/>
        </w:rPr>
        <w:t xml:space="preserve"> relates to minor </w:t>
      </w:r>
      <w:r w:rsidRPr="008048E1">
        <w:rPr>
          <w:bCs/>
        </w:rPr>
        <w:t>variances within the directorate.</w:t>
      </w:r>
    </w:p>
    <w:p w14:paraId="1C2287C6" w14:textId="77777777" w:rsidR="00F034E1" w:rsidRDefault="00F034E1" w:rsidP="00CB1B58">
      <w:pPr>
        <w:pStyle w:val="ListParagraph"/>
        <w:spacing w:after="240"/>
        <w:ind w:left="0" w:firstLine="709"/>
        <w:jc w:val="both"/>
        <w:rPr>
          <w:b/>
          <w:u w:val="single"/>
        </w:rPr>
      </w:pPr>
    </w:p>
    <w:p w14:paraId="597D3E42" w14:textId="2686D3CB" w:rsidR="0065397E" w:rsidRDefault="000E70F4" w:rsidP="00CB1B58">
      <w:pPr>
        <w:pStyle w:val="ListParagraph"/>
        <w:spacing w:after="240"/>
        <w:ind w:left="0" w:firstLine="709"/>
        <w:jc w:val="both"/>
        <w:rPr>
          <w:b/>
          <w:u w:val="single"/>
        </w:rPr>
      </w:pPr>
      <w:r w:rsidRPr="00E210B9">
        <w:rPr>
          <w:b/>
          <w:u w:val="single"/>
        </w:rPr>
        <w:t>C</w:t>
      </w:r>
      <w:r w:rsidR="0065397E" w:rsidRPr="00E210B9">
        <w:rPr>
          <w:b/>
          <w:u w:val="single"/>
        </w:rPr>
        <w:t>OMMUNITY DIRECTORATE</w:t>
      </w:r>
    </w:p>
    <w:p w14:paraId="49616872" w14:textId="0272F875" w:rsidR="00964C12" w:rsidRDefault="00964C12" w:rsidP="005163C5">
      <w:pPr>
        <w:pStyle w:val="ListParagraph"/>
        <w:ind w:left="0"/>
        <w:jc w:val="both"/>
        <w:rPr>
          <w:b/>
          <w:u w:val="single"/>
        </w:rPr>
      </w:pPr>
      <w:r w:rsidRPr="00CB1B58">
        <w:rPr>
          <w:b/>
        </w:rPr>
        <w:tab/>
      </w:r>
      <w:r>
        <w:rPr>
          <w:b/>
          <w:u w:val="single"/>
        </w:rPr>
        <w:t>Table 3: Community Variance</w:t>
      </w:r>
      <w:r w:rsidR="003D0738">
        <w:rPr>
          <w:b/>
          <w:u w:val="single"/>
        </w:rPr>
        <w:t xml:space="preserve">  </w:t>
      </w:r>
    </w:p>
    <w:p w14:paraId="00722500" w14:textId="77777777" w:rsidR="00905E10" w:rsidRDefault="00905E10" w:rsidP="000A2CF3">
      <w:pPr>
        <w:pStyle w:val="ListParagraph"/>
        <w:spacing w:before="100" w:beforeAutospacing="1"/>
        <w:ind w:left="851" w:hanging="851"/>
        <w:jc w:val="both"/>
        <w:rPr>
          <w:b/>
          <w:u w:val="single"/>
        </w:rPr>
      </w:pPr>
      <w:r>
        <w:rPr>
          <w:b/>
          <w:u w:val="single"/>
        </w:rPr>
        <w:t xml:space="preserve">              </w:t>
      </w:r>
    </w:p>
    <w:tbl>
      <w:tblPr>
        <w:tblW w:w="6988" w:type="dxa"/>
        <w:tblInd w:w="1035" w:type="dxa"/>
        <w:tblLook w:val="04A0" w:firstRow="1" w:lastRow="0" w:firstColumn="1" w:lastColumn="0" w:noHBand="0" w:noVBand="1"/>
      </w:tblPr>
      <w:tblGrid>
        <w:gridCol w:w="2742"/>
        <w:gridCol w:w="1366"/>
        <w:gridCol w:w="1319"/>
        <w:gridCol w:w="1561"/>
      </w:tblGrid>
      <w:tr w:rsidR="00905E10" w:rsidRPr="00905E10" w14:paraId="3A68D7C7" w14:textId="77777777" w:rsidTr="000A3C5C">
        <w:trPr>
          <w:trHeight w:val="1298"/>
        </w:trPr>
        <w:tc>
          <w:tcPr>
            <w:tcW w:w="2742" w:type="dxa"/>
            <w:tcBorders>
              <w:top w:val="single" w:sz="8" w:space="0" w:color="auto"/>
              <w:left w:val="single" w:sz="8" w:space="0" w:color="auto"/>
              <w:bottom w:val="nil"/>
              <w:right w:val="nil"/>
            </w:tcBorders>
            <w:shd w:val="clear" w:color="auto" w:fill="auto"/>
            <w:vAlign w:val="center"/>
            <w:hideMark/>
          </w:tcPr>
          <w:p w14:paraId="36023184" w14:textId="77777777" w:rsidR="00905E10" w:rsidRPr="00905E10" w:rsidRDefault="00905E10" w:rsidP="00905E10">
            <w:pPr>
              <w:rPr>
                <w:rFonts w:cs="Arial"/>
                <w:sz w:val="20"/>
                <w:lang w:eastAsia="en-GB"/>
              </w:rPr>
            </w:pPr>
            <w:r w:rsidRPr="00905E10">
              <w:rPr>
                <w:rFonts w:cs="Arial"/>
                <w:sz w:val="20"/>
                <w:lang w:eastAsia="en-GB"/>
              </w:rPr>
              <w:t> </w:t>
            </w:r>
          </w:p>
        </w:tc>
        <w:tc>
          <w:tcPr>
            <w:tcW w:w="13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577E" w14:textId="77777777" w:rsidR="00905E10" w:rsidRPr="00905E10" w:rsidRDefault="00905E10" w:rsidP="00905E10">
            <w:pPr>
              <w:rPr>
                <w:rFonts w:cs="Arial"/>
                <w:sz w:val="20"/>
                <w:lang w:eastAsia="en-GB"/>
              </w:rPr>
            </w:pPr>
            <w:r w:rsidRPr="00905E10">
              <w:rPr>
                <w:rFonts w:cs="Arial"/>
                <w:sz w:val="20"/>
                <w:lang w:eastAsia="en-GB"/>
              </w:rPr>
              <w:t>Quarter 3 Variance</w:t>
            </w:r>
          </w:p>
        </w:tc>
        <w:tc>
          <w:tcPr>
            <w:tcW w:w="1319" w:type="dxa"/>
            <w:tcBorders>
              <w:top w:val="single" w:sz="8" w:space="0" w:color="auto"/>
              <w:left w:val="nil"/>
              <w:bottom w:val="single" w:sz="8" w:space="0" w:color="auto"/>
              <w:right w:val="single" w:sz="8" w:space="0" w:color="auto"/>
            </w:tcBorders>
            <w:shd w:val="clear" w:color="auto" w:fill="auto"/>
            <w:vAlign w:val="center"/>
            <w:hideMark/>
          </w:tcPr>
          <w:p w14:paraId="5F53471A" w14:textId="77777777" w:rsidR="00905E10" w:rsidRPr="00905E10" w:rsidRDefault="00905E10" w:rsidP="00905E10">
            <w:pPr>
              <w:rPr>
                <w:rFonts w:cs="Arial"/>
                <w:sz w:val="20"/>
                <w:lang w:eastAsia="en-GB"/>
              </w:rPr>
            </w:pPr>
            <w:r w:rsidRPr="00905E10">
              <w:rPr>
                <w:rFonts w:cs="Arial"/>
                <w:sz w:val="20"/>
                <w:lang w:eastAsia="en-GB"/>
              </w:rPr>
              <w:t>Quarter 2 variance</w:t>
            </w:r>
          </w:p>
        </w:tc>
        <w:tc>
          <w:tcPr>
            <w:tcW w:w="1561" w:type="dxa"/>
            <w:tcBorders>
              <w:top w:val="single" w:sz="8" w:space="0" w:color="auto"/>
              <w:left w:val="nil"/>
              <w:bottom w:val="single" w:sz="8" w:space="0" w:color="auto"/>
              <w:right w:val="single" w:sz="8" w:space="0" w:color="auto"/>
            </w:tcBorders>
            <w:shd w:val="clear" w:color="auto" w:fill="auto"/>
            <w:vAlign w:val="center"/>
            <w:hideMark/>
          </w:tcPr>
          <w:p w14:paraId="18DB917B" w14:textId="77777777" w:rsidR="00905E10" w:rsidRPr="00905E10" w:rsidRDefault="00905E10" w:rsidP="00905E10">
            <w:pPr>
              <w:rPr>
                <w:rFonts w:cs="Arial"/>
                <w:sz w:val="20"/>
                <w:lang w:eastAsia="en-GB"/>
              </w:rPr>
            </w:pPr>
            <w:r w:rsidRPr="00905E10">
              <w:rPr>
                <w:rFonts w:cs="Arial"/>
                <w:sz w:val="20"/>
                <w:lang w:eastAsia="en-GB"/>
              </w:rPr>
              <w:t>Movement between Quarter 3 and Quarter 2</w:t>
            </w:r>
          </w:p>
        </w:tc>
      </w:tr>
      <w:tr w:rsidR="00905E10" w:rsidRPr="00905E10" w14:paraId="2556C814" w14:textId="77777777" w:rsidTr="000A3C5C">
        <w:trPr>
          <w:trHeight w:val="269"/>
        </w:trPr>
        <w:tc>
          <w:tcPr>
            <w:tcW w:w="2742" w:type="dxa"/>
            <w:tcBorders>
              <w:top w:val="nil"/>
              <w:left w:val="single" w:sz="8" w:space="0" w:color="auto"/>
              <w:bottom w:val="nil"/>
              <w:right w:val="nil"/>
            </w:tcBorders>
            <w:shd w:val="clear" w:color="auto" w:fill="auto"/>
            <w:vAlign w:val="center"/>
            <w:hideMark/>
          </w:tcPr>
          <w:p w14:paraId="632ABAB1" w14:textId="77777777" w:rsidR="00905E10" w:rsidRPr="00905E10" w:rsidRDefault="00905E10" w:rsidP="00905E10">
            <w:pPr>
              <w:rPr>
                <w:rFonts w:cs="Arial"/>
                <w:sz w:val="20"/>
                <w:lang w:eastAsia="en-GB"/>
              </w:rPr>
            </w:pPr>
            <w:r w:rsidRPr="00905E10">
              <w:rPr>
                <w:rFonts w:cs="Arial"/>
                <w:sz w:val="20"/>
                <w:lang w:eastAsia="en-GB"/>
              </w:rPr>
              <w:t> </w:t>
            </w:r>
          </w:p>
        </w:tc>
        <w:tc>
          <w:tcPr>
            <w:tcW w:w="1366" w:type="dxa"/>
            <w:tcBorders>
              <w:top w:val="nil"/>
              <w:left w:val="single" w:sz="8" w:space="0" w:color="auto"/>
              <w:bottom w:val="nil"/>
              <w:right w:val="single" w:sz="8" w:space="0" w:color="auto"/>
            </w:tcBorders>
            <w:shd w:val="clear" w:color="auto" w:fill="auto"/>
            <w:noWrap/>
            <w:vAlign w:val="center"/>
            <w:hideMark/>
          </w:tcPr>
          <w:p w14:paraId="79490A7D" w14:textId="77777777" w:rsidR="00905E10" w:rsidRPr="00905E10" w:rsidRDefault="00905E10" w:rsidP="00905E10">
            <w:pPr>
              <w:jc w:val="center"/>
              <w:rPr>
                <w:rFonts w:cs="Arial"/>
                <w:sz w:val="20"/>
                <w:lang w:eastAsia="en-GB"/>
              </w:rPr>
            </w:pPr>
            <w:r w:rsidRPr="00905E10">
              <w:rPr>
                <w:rFonts w:cs="Arial"/>
                <w:sz w:val="20"/>
                <w:lang w:eastAsia="en-GB"/>
              </w:rPr>
              <w:t>£’000</w:t>
            </w:r>
          </w:p>
        </w:tc>
        <w:tc>
          <w:tcPr>
            <w:tcW w:w="1319" w:type="dxa"/>
            <w:tcBorders>
              <w:top w:val="nil"/>
              <w:left w:val="nil"/>
              <w:bottom w:val="nil"/>
              <w:right w:val="single" w:sz="8" w:space="0" w:color="auto"/>
            </w:tcBorders>
            <w:shd w:val="clear" w:color="auto" w:fill="auto"/>
            <w:noWrap/>
            <w:vAlign w:val="center"/>
            <w:hideMark/>
          </w:tcPr>
          <w:p w14:paraId="022456B9" w14:textId="77777777" w:rsidR="00905E10" w:rsidRPr="00905E10" w:rsidRDefault="00905E10" w:rsidP="00905E10">
            <w:pPr>
              <w:jc w:val="center"/>
              <w:rPr>
                <w:rFonts w:cs="Arial"/>
                <w:sz w:val="20"/>
                <w:lang w:eastAsia="en-GB"/>
              </w:rPr>
            </w:pPr>
            <w:r w:rsidRPr="00905E10">
              <w:rPr>
                <w:rFonts w:cs="Arial"/>
                <w:sz w:val="20"/>
                <w:lang w:eastAsia="en-GB"/>
              </w:rPr>
              <w:t>£’000</w:t>
            </w:r>
          </w:p>
        </w:tc>
        <w:tc>
          <w:tcPr>
            <w:tcW w:w="1561" w:type="dxa"/>
            <w:tcBorders>
              <w:top w:val="nil"/>
              <w:left w:val="nil"/>
              <w:bottom w:val="nil"/>
              <w:right w:val="single" w:sz="8" w:space="0" w:color="auto"/>
            </w:tcBorders>
            <w:shd w:val="clear" w:color="auto" w:fill="auto"/>
            <w:noWrap/>
            <w:vAlign w:val="center"/>
            <w:hideMark/>
          </w:tcPr>
          <w:p w14:paraId="471FADAE" w14:textId="77777777" w:rsidR="00905E10" w:rsidRPr="00905E10" w:rsidRDefault="00905E10" w:rsidP="00905E10">
            <w:pPr>
              <w:jc w:val="center"/>
              <w:rPr>
                <w:rFonts w:cs="Arial"/>
                <w:sz w:val="20"/>
                <w:lang w:eastAsia="en-GB"/>
              </w:rPr>
            </w:pPr>
            <w:r w:rsidRPr="00905E10">
              <w:rPr>
                <w:rFonts w:cs="Arial"/>
                <w:sz w:val="20"/>
                <w:lang w:eastAsia="en-GB"/>
              </w:rPr>
              <w:t>£’000</w:t>
            </w:r>
          </w:p>
        </w:tc>
      </w:tr>
      <w:tr w:rsidR="00905E10" w:rsidRPr="00905E10" w14:paraId="27A42FCC" w14:textId="77777777" w:rsidTr="000A3C5C">
        <w:trPr>
          <w:trHeight w:val="900"/>
        </w:trPr>
        <w:tc>
          <w:tcPr>
            <w:tcW w:w="27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4665E9" w14:textId="77777777" w:rsidR="00905E10" w:rsidRPr="00905E10" w:rsidRDefault="00905E10" w:rsidP="00905E10">
            <w:pPr>
              <w:rPr>
                <w:rFonts w:cs="Arial"/>
                <w:color w:val="000000"/>
                <w:sz w:val="18"/>
                <w:szCs w:val="18"/>
                <w:lang w:eastAsia="en-GB"/>
              </w:rPr>
            </w:pPr>
            <w:r w:rsidRPr="00905E10">
              <w:rPr>
                <w:rFonts w:cs="Arial"/>
                <w:color w:val="000000"/>
                <w:sz w:val="18"/>
                <w:szCs w:val="18"/>
                <w:lang w:eastAsia="en-GB"/>
              </w:rPr>
              <w:t xml:space="preserve">Commissioning &amp; Commercial Services </w:t>
            </w:r>
          </w:p>
        </w:tc>
        <w:tc>
          <w:tcPr>
            <w:tcW w:w="1366" w:type="dxa"/>
            <w:tcBorders>
              <w:top w:val="single" w:sz="8" w:space="0" w:color="auto"/>
              <w:left w:val="nil"/>
              <w:bottom w:val="single" w:sz="8" w:space="0" w:color="auto"/>
              <w:right w:val="single" w:sz="8" w:space="0" w:color="auto"/>
            </w:tcBorders>
            <w:shd w:val="clear" w:color="auto" w:fill="auto"/>
            <w:noWrap/>
            <w:vAlign w:val="center"/>
            <w:hideMark/>
          </w:tcPr>
          <w:p w14:paraId="60C0496D" w14:textId="77777777" w:rsidR="00905E10" w:rsidRPr="00905E10" w:rsidRDefault="00905E10" w:rsidP="00905E10">
            <w:pPr>
              <w:jc w:val="center"/>
              <w:rPr>
                <w:rFonts w:cs="Arial"/>
                <w:sz w:val="20"/>
                <w:lang w:eastAsia="en-GB"/>
              </w:rPr>
            </w:pPr>
            <w:r w:rsidRPr="00905E10">
              <w:rPr>
                <w:rFonts w:cs="Arial"/>
                <w:sz w:val="20"/>
                <w:lang w:eastAsia="en-GB"/>
              </w:rPr>
              <w:t>0</w:t>
            </w:r>
          </w:p>
        </w:tc>
        <w:tc>
          <w:tcPr>
            <w:tcW w:w="1319" w:type="dxa"/>
            <w:tcBorders>
              <w:top w:val="single" w:sz="8" w:space="0" w:color="auto"/>
              <w:left w:val="nil"/>
              <w:bottom w:val="single" w:sz="8" w:space="0" w:color="auto"/>
              <w:right w:val="single" w:sz="8" w:space="0" w:color="auto"/>
            </w:tcBorders>
            <w:shd w:val="clear" w:color="auto" w:fill="auto"/>
            <w:noWrap/>
            <w:vAlign w:val="center"/>
            <w:hideMark/>
          </w:tcPr>
          <w:p w14:paraId="4BCDB3C3" w14:textId="77777777" w:rsidR="00905E10" w:rsidRPr="00905E10" w:rsidRDefault="00905E10" w:rsidP="00905E10">
            <w:pPr>
              <w:jc w:val="center"/>
              <w:rPr>
                <w:rFonts w:cs="Arial"/>
                <w:sz w:val="20"/>
                <w:lang w:eastAsia="en-GB"/>
              </w:rPr>
            </w:pPr>
            <w:r w:rsidRPr="00905E10">
              <w:rPr>
                <w:rFonts w:cs="Arial"/>
                <w:sz w:val="20"/>
                <w:lang w:eastAsia="en-GB"/>
              </w:rPr>
              <w:t>0</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D761F86" w14:textId="77777777" w:rsidR="00905E10" w:rsidRPr="00905E10" w:rsidRDefault="00905E10" w:rsidP="00905E10">
            <w:pPr>
              <w:jc w:val="center"/>
              <w:rPr>
                <w:rFonts w:cs="Arial"/>
                <w:sz w:val="20"/>
                <w:lang w:eastAsia="en-GB"/>
              </w:rPr>
            </w:pPr>
            <w:r w:rsidRPr="00905E10">
              <w:rPr>
                <w:rFonts w:cs="Arial"/>
                <w:sz w:val="20"/>
                <w:lang w:eastAsia="en-GB"/>
              </w:rPr>
              <w:t>0</w:t>
            </w:r>
          </w:p>
        </w:tc>
      </w:tr>
      <w:tr w:rsidR="00905E10" w:rsidRPr="00905E10" w14:paraId="10F1764A" w14:textId="77777777" w:rsidTr="000A3C5C">
        <w:trPr>
          <w:trHeight w:val="269"/>
        </w:trPr>
        <w:tc>
          <w:tcPr>
            <w:tcW w:w="2742" w:type="dxa"/>
            <w:tcBorders>
              <w:top w:val="nil"/>
              <w:left w:val="single" w:sz="8" w:space="0" w:color="auto"/>
              <w:bottom w:val="single" w:sz="8" w:space="0" w:color="auto"/>
              <w:right w:val="single" w:sz="8" w:space="0" w:color="auto"/>
            </w:tcBorders>
            <w:shd w:val="clear" w:color="auto" w:fill="auto"/>
            <w:noWrap/>
            <w:vAlign w:val="center"/>
            <w:hideMark/>
          </w:tcPr>
          <w:p w14:paraId="60CA6FF6" w14:textId="77777777" w:rsidR="00905E10" w:rsidRPr="00905E10" w:rsidRDefault="00905E10" w:rsidP="00905E10">
            <w:pPr>
              <w:rPr>
                <w:rFonts w:cs="Arial"/>
                <w:color w:val="000000"/>
                <w:sz w:val="18"/>
                <w:szCs w:val="18"/>
                <w:lang w:eastAsia="en-GB"/>
              </w:rPr>
            </w:pPr>
            <w:r w:rsidRPr="00905E10">
              <w:rPr>
                <w:rFonts w:cs="Arial"/>
                <w:color w:val="000000"/>
                <w:sz w:val="18"/>
                <w:szCs w:val="18"/>
                <w:lang w:eastAsia="en-GB"/>
              </w:rPr>
              <w:t>Environment &amp; Culture</w:t>
            </w:r>
          </w:p>
        </w:tc>
        <w:tc>
          <w:tcPr>
            <w:tcW w:w="1366" w:type="dxa"/>
            <w:tcBorders>
              <w:top w:val="nil"/>
              <w:left w:val="nil"/>
              <w:bottom w:val="single" w:sz="8" w:space="0" w:color="auto"/>
              <w:right w:val="single" w:sz="8" w:space="0" w:color="auto"/>
            </w:tcBorders>
            <w:shd w:val="clear" w:color="auto" w:fill="auto"/>
            <w:noWrap/>
            <w:vAlign w:val="center"/>
            <w:hideMark/>
          </w:tcPr>
          <w:p w14:paraId="51361BD0" w14:textId="77777777" w:rsidR="00905E10" w:rsidRPr="00905E10" w:rsidRDefault="00905E10" w:rsidP="00905E10">
            <w:pPr>
              <w:jc w:val="center"/>
              <w:rPr>
                <w:rFonts w:cs="Arial"/>
                <w:sz w:val="20"/>
                <w:lang w:eastAsia="en-GB"/>
              </w:rPr>
            </w:pPr>
            <w:r w:rsidRPr="00905E10">
              <w:rPr>
                <w:rFonts w:cs="Arial"/>
                <w:sz w:val="20"/>
                <w:lang w:eastAsia="en-GB"/>
              </w:rPr>
              <w:t>522</w:t>
            </w:r>
          </w:p>
        </w:tc>
        <w:tc>
          <w:tcPr>
            <w:tcW w:w="1319" w:type="dxa"/>
            <w:tcBorders>
              <w:top w:val="nil"/>
              <w:left w:val="nil"/>
              <w:bottom w:val="single" w:sz="8" w:space="0" w:color="auto"/>
              <w:right w:val="single" w:sz="8" w:space="0" w:color="auto"/>
            </w:tcBorders>
            <w:shd w:val="clear" w:color="auto" w:fill="auto"/>
            <w:noWrap/>
            <w:vAlign w:val="center"/>
            <w:hideMark/>
          </w:tcPr>
          <w:p w14:paraId="23D5E689" w14:textId="77777777" w:rsidR="00905E10" w:rsidRPr="00905E10" w:rsidRDefault="00905E10" w:rsidP="00905E10">
            <w:pPr>
              <w:jc w:val="center"/>
              <w:rPr>
                <w:rFonts w:cs="Arial"/>
                <w:sz w:val="20"/>
                <w:lang w:eastAsia="en-GB"/>
              </w:rPr>
            </w:pPr>
            <w:r w:rsidRPr="00905E10">
              <w:rPr>
                <w:rFonts w:cs="Arial"/>
                <w:sz w:val="20"/>
                <w:lang w:eastAsia="en-GB"/>
              </w:rPr>
              <w:t>428</w:t>
            </w:r>
          </w:p>
        </w:tc>
        <w:tc>
          <w:tcPr>
            <w:tcW w:w="1561" w:type="dxa"/>
            <w:tcBorders>
              <w:top w:val="nil"/>
              <w:left w:val="nil"/>
              <w:bottom w:val="single" w:sz="8" w:space="0" w:color="auto"/>
              <w:right w:val="single" w:sz="8" w:space="0" w:color="auto"/>
            </w:tcBorders>
            <w:shd w:val="clear" w:color="auto" w:fill="auto"/>
            <w:noWrap/>
            <w:vAlign w:val="center"/>
            <w:hideMark/>
          </w:tcPr>
          <w:p w14:paraId="5FF9E5CB" w14:textId="77777777" w:rsidR="00905E10" w:rsidRPr="00905E10" w:rsidRDefault="00905E10" w:rsidP="00905E10">
            <w:pPr>
              <w:jc w:val="right"/>
              <w:rPr>
                <w:rFonts w:cs="Arial"/>
                <w:sz w:val="20"/>
                <w:lang w:eastAsia="en-GB"/>
              </w:rPr>
            </w:pPr>
            <w:r w:rsidRPr="00905E10">
              <w:rPr>
                <w:rFonts w:cs="Arial"/>
                <w:sz w:val="20"/>
                <w:lang w:eastAsia="en-GB"/>
              </w:rPr>
              <w:t>94</w:t>
            </w:r>
          </w:p>
        </w:tc>
      </w:tr>
      <w:tr w:rsidR="00905E10" w:rsidRPr="00905E10" w14:paraId="6E57DA3E" w14:textId="77777777" w:rsidTr="000A3C5C">
        <w:trPr>
          <w:trHeight w:val="269"/>
        </w:trPr>
        <w:tc>
          <w:tcPr>
            <w:tcW w:w="2742" w:type="dxa"/>
            <w:tcBorders>
              <w:top w:val="nil"/>
              <w:left w:val="single" w:sz="8" w:space="0" w:color="auto"/>
              <w:bottom w:val="single" w:sz="8" w:space="0" w:color="auto"/>
              <w:right w:val="single" w:sz="8" w:space="0" w:color="auto"/>
            </w:tcBorders>
            <w:shd w:val="clear" w:color="auto" w:fill="auto"/>
            <w:noWrap/>
            <w:vAlign w:val="center"/>
            <w:hideMark/>
          </w:tcPr>
          <w:p w14:paraId="1A53AAAF" w14:textId="77777777" w:rsidR="00905E10" w:rsidRPr="00905E10" w:rsidRDefault="00905E10" w:rsidP="00905E10">
            <w:pPr>
              <w:rPr>
                <w:rFonts w:cs="Arial"/>
                <w:color w:val="000000"/>
                <w:sz w:val="18"/>
                <w:szCs w:val="18"/>
                <w:lang w:eastAsia="en-GB"/>
              </w:rPr>
            </w:pPr>
            <w:r w:rsidRPr="00905E10">
              <w:rPr>
                <w:rFonts w:cs="Arial"/>
                <w:color w:val="000000"/>
                <w:sz w:val="18"/>
                <w:szCs w:val="18"/>
                <w:lang w:eastAsia="en-GB"/>
              </w:rPr>
              <w:t>Directorate Management</w:t>
            </w:r>
          </w:p>
        </w:tc>
        <w:tc>
          <w:tcPr>
            <w:tcW w:w="1366" w:type="dxa"/>
            <w:tcBorders>
              <w:top w:val="nil"/>
              <w:left w:val="nil"/>
              <w:bottom w:val="single" w:sz="8" w:space="0" w:color="auto"/>
              <w:right w:val="single" w:sz="8" w:space="0" w:color="auto"/>
            </w:tcBorders>
            <w:shd w:val="clear" w:color="auto" w:fill="auto"/>
            <w:noWrap/>
            <w:vAlign w:val="center"/>
            <w:hideMark/>
          </w:tcPr>
          <w:p w14:paraId="16C7BF16" w14:textId="77777777" w:rsidR="00905E10" w:rsidRPr="00905E10" w:rsidRDefault="00905E10" w:rsidP="00905E10">
            <w:pPr>
              <w:jc w:val="center"/>
              <w:rPr>
                <w:rFonts w:cs="Arial"/>
                <w:sz w:val="20"/>
                <w:lang w:eastAsia="en-GB"/>
              </w:rPr>
            </w:pPr>
            <w:r w:rsidRPr="00905E10">
              <w:rPr>
                <w:rFonts w:cs="Arial"/>
                <w:sz w:val="20"/>
                <w:lang w:eastAsia="en-GB"/>
              </w:rPr>
              <w:t>0</w:t>
            </w:r>
          </w:p>
        </w:tc>
        <w:tc>
          <w:tcPr>
            <w:tcW w:w="1319" w:type="dxa"/>
            <w:tcBorders>
              <w:top w:val="nil"/>
              <w:left w:val="nil"/>
              <w:bottom w:val="single" w:sz="8" w:space="0" w:color="auto"/>
              <w:right w:val="single" w:sz="8" w:space="0" w:color="auto"/>
            </w:tcBorders>
            <w:shd w:val="clear" w:color="auto" w:fill="auto"/>
            <w:noWrap/>
            <w:vAlign w:val="center"/>
            <w:hideMark/>
          </w:tcPr>
          <w:p w14:paraId="07FA7BB9" w14:textId="77777777" w:rsidR="00905E10" w:rsidRPr="00905E10" w:rsidRDefault="00905E10" w:rsidP="00905E10">
            <w:pPr>
              <w:jc w:val="center"/>
              <w:rPr>
                <w:rFonts w:cs="Arial"/>
                <w:sz w:val="20"/>
                <w:lang w:eastAsia="en-GB"/>
              </w:rPr>
            </w:pPr>
            <w:r w:rsidRPr="00905E10">
              <w:rPr>
                <w:rFonts w:cs="Arial"/>
                <w:sz w:val="20"/>
                <w:lang w:eastAsia="en-GB"/>
              </w:rPr>
              <w:t>0</w:t>
            </w:r>
          </w:p>
        </w:tc>
        <w:tc>
          <w:tcPr>
            <w:tcW w:w="1561" w:type="dxa"/>
            <w:tcBorders>
              <w:top w:val="nil"/>
              <w:left w:val="nil"/>
              <w:bottom w:val="single" w:sz="8" w:space="0" w:color="auto"/>
              <w:right w:val="single" w:sz="8" w:space="0" w:color="auto"/>
            </w:tcBorders>
            <w:shd w:val="clear" w:color="auto" w:fill="auto"/>
            <w:noWrap/>
            <w:vAlign w:val="center"/>
            <w:hideMark/>
          </w:tcPr>
          <w:p w14:paraId="2F691BAF" w14:textId="77777777" w:rsidR="00905E10" w:rsidRPr="00905E10" w:rsidRDefault="00905E10" w:rsidP="00905E10">
            <w:pPr>
              <w:jc w:val="center"/>
              <w:rPr>
                <w:rFonts w:cs="Arial"/>
                <w:sz w:val="20"/>
                <w:lang w:eastAsia="en-GB"/>
              </w:rPr>
            </w:pPr>
            <w:r w:rsidRPr="00905E10">
              <w:rPr>
                <w:rFonts w:cs="Arial"/>
                <w:sz w:val="20"/>
                <w:lang w:eastAsia="en-GB"/>
              </w:rPr>
              <w:t>0</w:t>
            </w:r>
          </w:p>
        </w:tc>
      </w:tr>
      <w:tr w:rsidR="00905E10" w:rsidRPr="00905E10" w14:paraId="0CCC3C8B" w14:textId="77777777" w:rsidTr="000A3C5C">
        <w:trPr>
          <w:trHeight w:val="269"/>
        </w:trPr>
        <w:tc>
          <w:tcPr>
            <w:tcW w:w="2742" w:type="dxa"/>
            <w:tcBorders>
              <w:top w:val="nil"/>
              <w:left w:val="single" w:sz="8" w:space="0" w:color="auto"/>
              <w:bottom w:val="single" w:sz="8" w:space="0" w:color="auto"/>
              <w:right w:val="single" w:sz="8" w:space="0" w:color="auto"/>
            </w:tcBorders>
            <w:shd w:val="clear" w:color="auto" w:fill="auto"/>
            <w:noWrap/>
            <w:vAlign w:val="center"/>
            <w:hideMark/>
          </w:tcPr>
          <w:p w14:paraId="3B5C7C47" w14:textId="77777777" w:rsidR="00905E10" w:rsidRPr="00905E10" w:rsidRDefault="00905E10" w:rsidP="00905E10">
            <w:pPr>
              <w:rPr>
                <w:rFonts w:cs="Arial"/>
                <w:color w:val="000000"/>
                <w:sz w:val="18"/>
                <w:szCs w:val="18"/>
                <w:lang w:eastAsia="en-GB"/>
              </w:rPr>
            </w:pPr>
            <w:r w:rsidRPr="00905E10">
              <w:rPr>
                <w:rFonts w:cs="Arial"/>
                <w:color w:val="000000"/>
                <w:sz w:val="18"/>
                <w:szCs w:val="18"/>
                <w:lang w:eastAsia="en-GB"/>
              </w:rPr>
              <w:t>Housing General Fund</w:t>
            </w:r>
          </w:p>
        </w:tc>
        <w:tc>
          <w:tcPr>
            <w:tcW w:w="1366" w:type="dxa"/>
            <w:tcBorders>
              <w:top w:val="nil"/>
              <w:left w:val="nil"/>
              <w:bottom w:val="single" w:sz="8" w:space="0" w:color="auto"/>
              <w:right w:val="single" w:sz="8" w:space="0" w:color="auto"/>
            </w:tcBorders>
            <w:shd w:val="clear" w:color="auto" w:fill="auto"/>
            <w:noWrap/>
            <w:vAlign w:val="center"/>
            <w:hideMark/>
          </w:tcPr>
          <w:p w14:paraId="66187E17" w14:textId="77777777" w:rsidR="00905E10" w:rsidRPr="00905E10" w:rsidRDefault="00905E10" w:rsidP="00905E10">
            <w:pPr>
              <w:jc w:val="center"/>
              <w:rPr>
                <w:rFonts w:cs="Arial"/>
                <w:sz w:val="20"/>
                <w:lang w:eastAsia="en-GB"/>
              </w:rPr>
            </w:pPr>
            <w:r w:rsidRPr="00905E10">
              <w:rPr>
                <w:rFonts w:cs="Arial"/>
                <w:sz w:val="20"/>
                <w:lang w:eastAsia="en-GB"/>
              </w:rPr>
              <w:t>300</w:t>
            </w:r>
          </w:p>
        </w:tc>
        <w:tc>
          <w:tcPr>
            <w:tcW w:w="1319" w:type="dxa"/>
            <w:tcBorders>
              <w:top w:val="nil"/>
              <w:left w:val="nil"/>
              <w:bottom w:val="single" w:sz="8" w:space="0" w:color="auto"/>
              <w:right w:val="single" w:sz="8" w:space="0" w:color="auto"/>
            </w:tcBorders>
            <w:shd w:val="clear" w:color="auto" w:fill="auto"/>
            <w:noWrap/>
            <w:vAlign w:val="center"/>
            <w:hideMark/>
          </w:tcPr>
          <w:p w14:paraId="54AA3170" w14:textId="77777777" w:rsidR="00905E10" w:rsidRPr="00905E10" w:rsidRDefault="00905E10" w:rsidP="00905E10">
            <w:pPr>
              <w:jc w:val="center"/>
              <w:rPr>
                <w:rFonts w:cs="Arial"/>
                <w:sz w:val="20"/>
                <w:lang w:eastAsia="en-GB"/>
              </w:rPr>
            </w:pPr>
            <w:r w:rsidRPr="00905E10">
              <w:rPr>
                <w:rFonts w:cs="Arial"/>
                <w:sz w:val="20"/>
                <w:lang w:eastAsia="en-GB"/>
              </w:rPr>
              <w:t>0</w:t>
            </w:r>
          </w:p>
        </w:tc>
        <w:tc>
          <w:tcPr>
            <w:tcW w:w="1561" w:type="dxa"/>
            <w:tcBorders>
              <w:top w:val="nil"/>
              <w:left w:val="nil"/>
              <w:bottom w:val="single" w:sz="8" w:space="0" w:color="auto"/>
              <w:right w:val="single" w:sz="8" w:space="0" w:color="auto"/>
            </w:tcBorders>
            <w:shd w:val="clear" w:color="auto" w:fill="auto"/>
            <w:noWrap/>
            <w:vAlign w:val="center"/>
            <w:hideMark/>
          </w:tcPr>
          <w:p w14:paraId="203783E9" w14:textId="77777777" w:rsidR="00905E10" w:rsidRPr="00905E10" w:rsidRDefault="00905E10" w:rsidP="00905E10">
            <w:pPr>
              <w:jc w:val="center"/>
              <w:rPr>
                <w:rFonts w:cs="Arial"/>
                <w:sz w:val="20"/>
                <w:lang w:eastAsia="en-GB"/>
              </w:rPr>
            </w:pPr>
            <w:r w:rsidRPr="00905E10">
              <w:rPr>
                <w:rFonts w:cs="Arial"/>
                <w:sz w:val="20"/>
                <w:lang w:eastAsia="en-GB"/>
              </w:rPr>
              <w:t>300</w:t>
            </w:r>
          </w:p>
        </w:tc>
      </w:tr>
      <w:tr w:rsidR="00905E10" w:rsidRPr="00905E10" w14:paraId="2709C671" w14:textId="77777777" w:rsidTr="000A3C5C">
        <w:trPr>
          <w:trHeight w:val="269"/>
        </w:trPr>
        <w:tc>
          <w:tcPr>
            <w:tcW w:w="2742" w:type="dxa"/>
            <w:tcBorders>
              <w:top w:val="nil"/>
              <w:left w:val="single" w:sz="8" w:space="0" w:color="auto"/>
              <w:bottom w:val="single" w:sz="8" w:space="0" w:color="auto"/>
              <w:right w:val="nil"/>
            </w:tcBorders>
            <w:shd w:val="clear" w:color="auto" w:fill="auto"/>
            <w:vAlign w:val="center"/>
            <w:hideMark/>
          </w:tcPr>
          <w:p w14:paraId="123B4B22" w14:textId="77777777" w:rsidR="00905E10" w:rsidRPr="00905E10" w:rsidRDefault="00905E10" w:rsidP="00905E10">
            <w:pPr>
              <w:rPr>
                <w:rFonts w:cs="Arial"/>
                <w:sz w:val="20"/>
                <w:lang w:eastAsia="en-GB"/>
              </w:rPr>
            </w:pPr>
            <w:r w:rsidRPr="00905E10">
              <w:rPr>
                <w:rFonts w:cs="Arial"/>
                <w:sz w:val="20"/>
                <w:lang w:eastAsia="en-GB"/>
              </w:rPr>
              <w:t>Total</w:t>
            </w: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07BE1865" w14:textId="77777777" w:rsidR="00905E10" w:rsidRPr="00905E10" w:rsidRDefault="00905E10" w:rsidP="00905E10">
            <w:pPr>
              <w:jc w:val="center"/>
              <w:rPr>
                <w:rFonts w:cs="Arial"/>
                <w:sz w:val="20"/>
                <w:lang w:eastAsia="en-GB"/>
              </w:rPr>
            </w:pPr>
            <w:r w:rsidRPr="00905E10">
              <w:rPr>
                <w:rFonts w:cs="Arial"/>
                <w:sz w:val="20"/>
                <w:lang w:eastAsia="en-GB"/>
              </w:rPr>
              <w:t>822</w:t>
            </w:r>
          </w:p>
        </w:tc>
        <w:tc>
          <w:tcPr>
            <w:tcW w:w="1319" w:type="dxa"/>
            <w:tcBorders>
              <w:top w:val="nil"/>
              <w:left w:val="nil"/>
              <w:bottom w:val="single" w:sz="8" w:space="0" w:color="auto"/>
              <w:right w:val="single" w:sz="8" w:space="0" w:color="auto"/>
            </w:tcBorders>
            <w:shd w:val="clear" w:color="auto" w:fill="auto"/>
            <w:noWrap/>
            <w:vAlign w:val="center"/>
            <w:hideMark/>
          </w:tcPr>
          <w:p w14:paraId="22BA8148" w14:textId="77777777" w:rsidR="00905E10" w:rsidRPr="00905E10" w:rsidRDefault="00905E10" w:rsidP="00905E10">
            <w:pPr>
              <w:jc w:val="center"/>
              <w:rPr>
                <w:rFonts w:cs="Arial"/>
                <w:sz w:val="20"/>
                <w:lang w:eastAsia="en-GB"/>
              </w:rPr>
            </w:pPr>
            <w:r w:rsidRPr="00905E10">
              <w:rPr>
                <w:rFonts w:cs="Arial"/>
                <w:sz w:val="20"/>
                <w:lang w:eastAsia="en-GB"/>
              </w:rPr>
              <w:t>428</w:t>
            </w:r>
          </w:p>
        </w:tc>
        <w:tc>
          <w:tcPr>
            <w:tcW w:w="1561" w:type="dxa"/>
            <w:tcBorders>
              <w:top w:val="nil"/>
              <w:left w:val="nil"/>
              <w:bottom w:val="single" w:sz="8" w:space="0" w:color="auto"/>
              <w:right w:val="single" w:sz="8" w:space="0" w:color="auto"/>
            </w:tcBorders>
            <w:shd w:val="clear" w:color="auto" w:fill="auto"/>
            <w:noWrap/>
            <w:vAlign w:val="center"/>
            <w:hideMark/>
          </w:tcPr>
          <w:p w14:paraId="67FE6F89" w14:textId="77777777" w:rsidR="00905E10" w:rsidRPr="00905E10" w:rsidRDefault="00905E10" w:rsidP="00905E10">
            <w:pPr>
              <w:jc w:val="center"/>
              <w:rPr>
                <w:rFonts w:cs="Arial"/>
                <w:sz w:val="20"/>
                <w:lang w:eastAsia="en-GB"/>
              </w:rPr>
            </w:pPr>
            <w:r w:rsidRPr="00905E10">
              <w:rPr>
                <w:rFonts w:cs="Arial"/>
                <w:sz w:val="20"/>
                <w:lang w:eastAsia="en-GB"/>
              </w:rPr>
              <w:t>394</w:t>
            </w:r>
          </w:p>
        </w:tc>
      </w:tr>
    </w:tbl>
    <w:p w14:paraId="13BD8720" w14:textId="148B59E5" w:rsidR="00F86402" w:rsidRDefault="0065397E">
      <w:pPr>
        <w:pStyle w:val="ListParagraph"/>
        <w:numPr>
          <w:ilvl w:val="1"/>
          <w:numId w:val="64"/>
        </w:numPr>
        <w:spacing w:after="120"/>
        <w:ind w:left="709" w:hanging="709"/>
        <w:jc w:val="both"/>
        <w:rPr>
          <w:bCs/>
          <w:lang w:val="en-US"/>
        </w:rPr>
      </w:pPr>
      <w:r w:rsidRPr="00A00A64">
        <w:rPr>
          <w:bCs/>
          <w:lang w:val="en-US"/>
        </w:rPr>
        <w:t xml:space="preserve">At </w:t>
      </w:r>
      <w:r w:rsidR="00BB60A4" w:rsidRPr="00A00A64">
        <w:rPr>
          <w:bCs/>
          <w:lang w:val="en-US"/>
        </w:rPr>
        <w:t xml:space="preserve">Quarter </w:t>
      </w:r>
      <w:r w:rsidR="00635360">
        <w:rPr>
          <w:bCs/>
          <w:lang w:val="en-US"/>
        </w:rPr>
        <w:t>3</w:t>
      </w:r>
      <w:r w:rsidRPr="00A00A64">
        <w:rPr>
          <w:bCs/>
          <w:lang w:val="en-US"/>
        </w:rPr>
        <w:t xml:space="preserve">, the Community Directorate </w:t>
      </w:r>
      <w:r w:rsidR="00FA5ABC" w:rsidRPr="00A00A64">
        <w:rPr>
          <w:bCs/>
          <w:lang w:val="en-US"/>
        </w:rPr>
        <w:t xml:space="preserve">is reporting </w:t>
      </w:r>
      <w:r w:rsidR="004C5118" w:rsidRPr="00A00A64">
        <w:rPr>
          <w:bCs/>
          <w:lang w:val="en-US"/>
        </w:rPr>
        <w:t>a</w:t>
      </w:r>
      <w:r w:rsidR="00FE3DEE">
        <w:rPr>
          <w:bCs/>
          <w:lang w:val="en-US"/>
        </w:rPr>
        <w:t>n overspend of £</w:t>
      </w:r>
      <w:r w:rsidR="00CB01F5">
        <w:rPr>
          <w:bCs/>
          <w:lang w:val="en-US"/>
        </w:rPr>
        <w:t>0.</w:t>
      </w:r>
      <w:r w:rsidR="009F66BE">
        <w:rPr>
          <w:bCs/>
          <w:lang w:val="en-US"/>
        </w:rPr>
        <w:t>822</w:t>
      </w:r>
      <w:r w:rsidR="00CB01F5">
        <w:rPr>
          <w:bCs/>
          <w:lang w:val="en-US"/>
        </w:rPr>
        <w:t>m</w:t>
      </w:r>
      <w:r w:rsidR="009F66BE">
        <w:rPr>
          <w:bCs/>
          <w:lang w:val="en-US"/>
        </w:rPr>
        <w:t xml:space="preserve">. </w:t>
      </w:r>
      <w:r w:rsidR="004C5118" w:rsidRPr="00A00A64">
        <w:rPr>
          <w:bCs/>
          <w:lang w:val="en-US"/>
        </w:rPr>
        <w:t xml:space="preserve"> </w:t>
      </w:r>
    </w:p>
    <w:p w14:paraId="5CE438A0" w14:textId="4104546C" w:rsidR="003A52A2" w:rsidRPr="000A3C5C" w:rsidRDefault="00F86402" w:rsidP="000A3C5C">
      <w:pPr>
        <w:pStyle w:val="ListParagraph"/>
        <w:numPr>
          <w:ilvl w:val="0"/>
          <w:numId w:val="11"/>
        </w:numPr>
        <w:ind w:hanging="357"/>
        <w:jc w:val="both"/>
        <w:rPr>
          <w:rFonts w:cs="Arial"/>
          <w:sz w:val="22"/>
          <w:szCs w:val="22"/>
        </w:rPr>
      </w:pPr>
      <w:r w:rsidRPr="00F86402">
        <w:rPr>
          <w:bCs/>
        </w:rPr>
        <w:t xml:space="preserve">Waste services over spend of </w:t>
      </w:r>
      <w:r w:rsidRPr="00F86402">
        <w:rPr>
          <w:b/>
          <w:bCs/>
        </w:rPr>
        <w:t>£</w:t>
      </w:r>
      <w:r w:rsidR="00CB01F5">
        <w:rPr>
          <w:b/>
          <w:bCs/>
        </w:rPr>
        <w:t>0.</w:t>
      </w:r>
      <w:r w:rsidRPr="00F86402">
        <w:rPr>
          <w:b/>
          <w:bCs/>
        </w:rPr>
        <w:t>250</w:t>
      </w:r>
      <w:r w:rsidR="00CB01F5">
        <w:rPr>
          <w:b/>
          <w:bCs/>
        </w:rPr>
        <w:t>m</w:t>
      </w:r>
      <w:r w:rsidRPr="00F86402">
        <w:rPr>
          <w:bCs/>
        </w:rPr>
        <w:t xml:space="preserve"> on </w:t>
      </w:r>
      <w:r w:rsidR="00FA2875">
        <w:rPr>
          <w:bCs/>
        </w:rPr>
        <w:t xml:space="preserve">agency </w:t>
      </w:r>
      <w:r w:rsidRPr="00F86402">
        <w:rPr>
          <w:bCs/>
        </w:rPr>
        <w:t xml:space="preserve">staffing costs as a result of </w:t>
      </w:r>
      <w:r w:rsidR="00FA2875">
        <w:rPr>
          <w:bCs/>
        </w:rPr>
        <w:t xml:space="preserve">cover for </w:t>
      </w:r>
      <w:r w:rsidRPr="00F86402">
        <w:rPr>
          <w:bCs/>
        </w:rPr>
        <w:t>sickness</w:t>
      </w:r>
      <w:r w:rsidR="00FA2875">
        <w:rPr>
          <w:bCs/>
        </w:rPr>
        <w:t xml:space="preserve"> absence</w:t>
      </w:r>
      <w:r w:rsidRPr="00F86402">
        <w:rPr>
          <w:bCs/>
        </w:rPr>
        <w:t xml:space="preserve">. </w:t>
      </w:r>
      <w:r w:rsidR="00FA2875">
        <w:rPr>
          <w:bCs/>
        </w:rPr>
        <w:t>A fixed term dedicated HR resource is being used to tackle the level of sickness. One of the key areas also being reviewed is the current level of agency staff deployed. There is a national shortage of LGV drivers and recruiting to the posts is difficult. Recruitments to the vacant driver and loader posts are underway.</w:t>
      </w:r>
    </w:p>
    <w:p w14:paraId="7F0D58AA" w14:textId="77777777" w:rsidR="003A52A2" w:rsidRPr="000A3C5C" w:rsidRDefault="003A52A2" w:rsidP="000A3C5C">
      <w:pPr>
        <w:pStyle w:val="ListParagraph"/>
        <w:ind w:left="1429"/>
        <w:jc w:val="both"/>
        <w:rPr>
          <w:rFonts w:cs="Arial"/>
          <w:sz w:val="22"/>
          <w:szCs w:val="22"/>
        </w:rPr>
      </w:pPr>
    </w:p>
    <w:p w14:paraId="5398B8EE" w14:textId="37DA6C79" w:rsidR="00FA2875" w:rsidRDefault="003A52A2" w:rsidP="000A3C5C">
      <w:pPr>
        <w:pStyle w:val="ListParagraph"/>
        <w:numPr>
          <w:ilvl w:val="0"/>
          <w:numId w:val="11"/>
        </w:numPr>
        <w:ind w:hanging="357"/>
        <w:jc w:val="both"/>
        <w:rPr>
          <w:rFonts w:cs="Arial"/>
          <w:sz w:val="22"/>
          <w:szCs w:val="22"/>
        </w:rPr>
      </w:pPr>
      <w:r w:rsidRPr="003A52A2">
        <w:rPr>
          <w:bCs/>
        </w:rPr>
        <w:t xml:space="preserve">Clean &amp; Green team over spend of </w:t>
      </w:r>
      <w:r w:rsidRPr="003A52A2">
        <w:rPr>
          <w:b/>
          <w:bCs/>
        </w:rPr>
        <w:t>£0.130m</w:t>
      </w:r>
      <w:r w:rsidRPr="003A52A2">
        <w:rPr>
          <w:bCs/>
        </w:rPr>
        <w:t xml:space="preserve"> on agency staffing costs</w:t>
      </w:r>
      <w:r>
        <w:rPr>
          <w:bCs/>
        </w:rPr>
        <w:t>.</w:t>
      </w:r>
      <w:r w:rsidR="00FA2875">
        <w:rPr>
          <w:bCs/>
        </w:rPr>
        <w:t xml:space="preserve">  </w:t>
      </w:r>
      <w:r w:rsidR="00FA2875" w:rsidRPr="007C4E1B">
        <w:rPr>
          <w:rFonts w:cs="Arial"/>
          <w:sz w:val="22"/>
          <w:szCs w:val="22"/>
        </w:rPr>
        <w:t xml:space="preserve"> </w:t>
      </w:r>
    </w:p>
    <w:p w14:paraId="73CFC24D" w14:textId="77777777" w:rsidR="003A52A2" w:rsidRPr="000A3C5C" w:rsidRDefault="003A52A2" w:rsidP="000A3C5C">
      <w:pPr>
        <w:pStyle w:val="ListParagraph"/>
        <w:rPr>
          <w:rFonts w:cs="Arial"/>
          <w:sz w:val="22"/>
          <w:szCs w:val="22"/>
        </w:rPr>
      </w:pPr>
    </w:p>
    <w:p w14:paraId="7850FEE9" w14:textId="44EC0BCB" w:rsidR="00F86402" w:rsidRPr="000A3C5C" w:rsidRDefault="003A52A2" w:rsidP="000A3C5C">
      <w:pPr>
        <w:pStyle w:val="ListParagraph"/>
        <w:numPr>
          <w:ilvl w:val="0"/>
          <w:numId w:val="171"/>
        </w:numPr>
        <w:spacing w:after="120"/>
        <w:jc w:val="both"/>
        <w:rPr>
          <w:bCs/>
          <w:lang w:val="en-US"/>
        </w:rPr>
      </w:pPr>
      <w:r>
        <w:rPr>
          <w:bCs/>
        </w:rPr>
        <w:t>A</w:t>
      </w:r>
      <w:r w:rsidR="00F86402" w:rsidRPr="00F86402">
        <w:rPr>
          <w:bCs/>
        </w:rPr>
        <w:t xml:space="preserve">dditional costs of </w:t>
      </w:r>
      <w:r w:rsidR="00F86402" w:rsidRPr="00F86402">
        <w:rPr>
          <w:b/>
          <w:bCs/>
        </w:rPr>
        <w:t>£</w:t>
      </w:r>
      <w:r w:rsidR="00CB01F5">
        <w:rPr>
          <w:b/>
          <w:bCs/>
        </w:rPr>
        <w:t>0.</w:t>
      </w:r>
      <w:r w:rsidR="00F86402" w:rsidRPr="00F86402">
        <w:rPr>
          <w:b/>
          <w:bCs/>
        </w:rPr>
        <w:t>149</w:t>
      </w:r>
      <w:r w:rsidR="00CB01F5">
        <w:rPr>
          <w:b/>
          <w:bCs/>
        </w:rPr>
        <w:t>m</w:t>
      </w:r>
      <w:r w:rsidR="00F86402" w:rsidRPr="00F86402">
        <w:rPr>
          <w:bCs/>
        </w:rPr>
        <w:t xml:space="preserve"> were incurred to provide interim cover and project management support during the restructuring process in Environment &amp; Culture division</w:t>
      </w:r>
      <w:r w:rsidR="00F86402">
        <w:rPr>
          <w:bCs/>
        </w:rPr>
        <w:t>.</w:t>
      </w:r>
    </w:p>
    <w:p w14:paraId="4432A29C" w14:textId="518040DD" w:rsidR="00FA2875" w:rsidRPr="000A3C5C" w:rsidRDefault="00FA2875" w:rsidP="00FA2875">
      <w:pPr>
        <w:pStyle w:val="ListParagraph"/>
        <w:numPr>
          <w:ilvl w:val="0"/>
          <w:numId w:val="171"/>
        </w:numPr>
        <w:spacing w:after="120"/>
        <w:jc w:val="both"/>
        <w:rPr>
          <w:bCs/>
          <w:lang w:val="en-US"/>
        </w:rPr>
      </w:pPr>
      <w:r w:rsidRPr="00F86402">
        <w:rPr>
          <w:bCs/>
        </w:rPr>
        <w:t xml:space="preserve">Estimated counsel costs of </w:t>
      </w:r>
      <w:r w:rsidRPr="00F86402">
        <w:rPr>
          <w:b/>
          <w:bCs/>
        </w:rPr>
        <w:t>£</w:t>
      </w:r>
      <w:r w:rsidR="00CB01F5">
        <w:rPr>
          <w:b/>
          <w:bCs/>
        </w:rPr>
        <w:t>0.0</w:t>
      </w:r>
      <w:r w:rsidRPr="00F86402">
        <w:rPr>
          <w:b/>
          <w:bCs/>
        </w:rPr>
        <w:t>50</w:t>
      </w:r>
      <w:r w:rsidR="00CB01F5">
        <w:rPr>
          <w:b/>
          <w:bCs/>
        </w:rPr>
        <w:t>m</w:t>
      </w:r>
      <w:r w:rsidRPr="00F86402">
        <w:rPr>
          <w:bCs/>
        </w:rPr>
        <w:t xml:space="preserve"> for a legal case relating to food safety which involved a manslaughter charge against a defendant</w:t>
      </w:r>
      <w:r>
        <w:rPr>
          <w:bCs/>
        </w:rPr>
        <w:t>.</w:t>
      </w:r>
    </w:p>
    <w:p w14:paraId="71352689" w14:textId="6DA593CE" w:rsidR="00052FA8" w:rsidRPr="00DA0163" w:rsidRDefault="00052FA8" w:rsidP="00FA2875">
      <w:pPr>
        <w:pStyle w:val="ListParagraph"/>
        <w:numPr>
          <w:ilvl w:val="0"/>
          <w:numId w:val="171"/>
        </w:numPr>
        <w:spacing w:after="120"/>
        <w:jc w:val="both"/>
        <w:rPr>
          <w:bCs/>
          <w:lang w:val="en-US"/>
        </w:rPr>
      </w:pPr>
      <w:r w:rsidRPr="00052FA8">
        <w:rPr>
          <w:bCs/>
          <w:lang w:val="en-US"/>
        </w:rPr>
        <w:t xml:space="preserve">Housing General Fund forecasts a pressure of </w:t>
      </w:r>
      <w:r w:rsidRPr="00052FA8">
        <w:rPr>
          <w:b/>
          <w:bCs/>
          <w:lang w:val="en-US"/>
        </w:rPr>
        <w:t>£</w:t>
      </w:r>
      <w:r w:rsidR="00CB01F5">
        <w:rPr>
          <w:b/>
          <w:bCs/>
          <w:lang w:val="en-US"/>
        </w:rPr>
        <w:t>0.</w:t>
      </w:r>
      <w:r w:rsidRPr="00052FA8">
        <w:rPr>
          <w:b/>
          <w:bCs/>
          <w:lang w:val="en-US"/>
        </w:rPr>
        <w:t>300</w:t>
      </w:r>
      <w:r w:rsidR="00CB01F5">
        <w:rPr>
          <w:b/>
          <w:bCs/>
          <w:lang w:val="en-US"/>
        </w:rPr>
        <w:t>m</w:t>
      </w:r>
      <w:r w:rsidRPr="00052FA8">
        <w:rPr>
          <w:bCs/>
          <w:lang w:val="en-US"/>
        </w:rPr>
        <w:t xml:space="preserve"> due mainly to unachievable B&amp;B savings of £</w:t>
      </w:r>
      <w:r w:rsidR="00CB01F5">
        <w:rPr>
          <w:bCs/>
          <w:lang w:val="en-US"/>
        </w:rPr>
        <w:t>0.</w:t>
      </w:r>
      <w:r w:rsidRPr="00052FA8">
        <w:rPr>
          <w:bCs/>
          <w:lang w:val="en-US"/>
        </w:rPr>
        <w:t>445</w:t>
      </w:r>
      <w:r w:rsidR="00CB01F5">
        <w:rPr>
          <w:bCs/>
          <w:lang w:val="en-US"/>
        </w:rPr>
        <w:t>m</w:t>
      </w:r>
      <w:r w:rsidRPr="00052FA8">
        <w:rPr>
          <w:bCs/>
          <w:lang w:val="en-US"/>
        </w:rPr>
        <w:t xml:space="preserve"> and £</w:t>
      </w:r>
      <w:r w:rsidR="00CB01F5">
        <w:rPr>
          <w:bCs/>
          <w:lang w:val="en-US"/>
        </w:rPr>
        <w:t>0.0</w:t>
      </w:r>
      <w:r w:rsidRPr="00052FA8">
        <w:rPr>
          <w:bCs/>
          <w:lang w:val="en-US"/>
        </w:rPr>
        <w:t>68</w:t>
      </w:r>
      <w:r w:rsidR="00CB01F5">
        <w:rPr>
          <w:bCs/>
          <w:lang w:val="en-US"/>
        </w:rPr>
        <w:t>m</w:t>
      </w:r>
      <w:r w:rsidRPr="00052FA8">
        <w:rPr>
          <w:bCs/>
          <w:lang w:val="en-US"/>
        </w:rPr>
        <w:t xml:space="preserve"> for the first 100 Homes and the subsequent 50 Homes of the Property Acq</w:t>
      </w:r>
      <w:r w:rsidR="00905E10">
        <w:rPr>
          <w:bCs/>
          <w:lang w:val="en-US"/>
        </w:rPr>
        <w:t>uisition Programm</w:t>
      </w:r>
      <w:r w:rsidR="00D4537D">
        <w:rPr>
          <w:bCs/>
          <w:lang w:val="en-US"/>
        </w:rPr>
        <w:t>e. T</w:t>
      </w:r>
      <w:r w:rsidRPr="00052FA8">
        <w:rPr>
          <w:bCs/>
          <w:lang w:val="en-US"/>
        </w:rPr>
        <w:t>his has been partially offset by a favorable variation in the net rents from the first 100 Homes of £</w:t>
      </w:r>
      <w:r w:rsidR="00CB01F5">
        <w:rPr>
          <w:bCs/>
          <w:lang w:val="en-US"/>
        </w:rPr>
        <w:t>0.</w:t>
      </w:r>
      <w:r w:rsidRPr="00052FA8">
        <w:rPr>
          <w:bCs/>
          <w:lang w:val="en-US"/>
        </w:rPr>
        <w:t>213</w:t>
      </w:r>
      <w:r w:rsidR="00CB01F5">
        <w:rPr>
          <w:bCs/>
          <w:lang w:val="en-US"/>
        </w:rPr>
        <w:t>m.</w:t>
      </w:r>
    </w:p>
    <w:p w14:paraId="65950513" w14:textId="40452F22" w:rsidR="00FA2875" w:rsidRDefault="00FA2875" w:rsidP="00FA2875">
      <w:pPr>
        <w:pStyle w:val="ListParagraph"/>
        <w:numPr>
          <w:ilvl w:val="0"/>
          <w:numId w:val="171"/>
        </w:numPr>
        <w:spacing w:after="120"/>
        <w:jc w:val="both"/>
        <w:rPr>
          <w:bCs/>
          <w:lang w:val="en-US"/>
        </w:rPr>
      </w:pPr>
      <w:r w:rsidRPr="00F86402">
        <w:rPr>
          <w:bCs/>
        </w:rPr>
        <w:t>These overspends have been</w:t>
      </w:r>
      <w:r w:rsidR="00905E10">
        <w:rPr>
          <w:bCs/>
        </w:rPr>
        <w:t xml:space="preserve"> partly</w:t>
      </w:r>
      <w:r w:rsidRPr="00F86402">
        <w:rPr>
          <w:bCs/>
        </w:rPr>
        <w:t xml:space="preserve"> offset by an increase in income of (</w:t>
      </w:r>
      <w:r w:rsidRPr="00F86402">
        <w:rPr>
          <w:b/>
          <w:bCs/>
        </w:rPr>
        <w:t>£</w:t>
      </w:r>
      <w:r w:rsidR="00CB01F5">
        <w:rPr>
          <w:b/>
          <w:bCs/>
        </w:rPr>
        <w:t>0.</w:t>
      </w:r>
      <w:r w:rsidRPr="00F86402">
        <w:rPr>
          <w:b/>
          <w:bCs/>
        </w:rPr>
        <w:t>100</w:t>
      </w:r>
      <w:r w:rsidR="00CB01F5">
        <w:rPr>
          <w:b/>
          <w:bCs/>
        </w:rPr>
        <w:t>m</w:t>
      </w:r>
      <w:r w:rsidRPr="00F86402">
        <w:rPr>
          <w:b/>
          <w:bCs/>
        </w:rPr>
        <w:t>)</w:t>
      </w:r>
      <w:r w:rsidRPr="00F86402">
        <w:rPr>
          <w:bCs/>
        </w:rPr>
        <w:t xml:space="preserve"> mainly in relation to Parks &amp; cemeteries</w:t>
      </w:r>
      <w:r>
        <w:rPr>
          <w:bCs/>
        </w:rPr>
        <w:t>.</w:t>
      </w:r>
    </w:p>
    <w:p w14:paraId="3202E38D" w14:textId="77777777" w:rsidR="00F86402" w:rsidRDefault="00F86402" w:rsidP="000A3C5C">
      <w:pPr>
        <w:pStyle w:val="ListParagraph"/>
        <w:spacing w:after="120"/>
        <w:ind w:left="709"/>
        <w:jc w:val="both"/>
        <w:rPr>
          <w:bCs/>
          <w:lang w:val="en-US"/>
        </w:rPr>
      </w:pPr>
    </w:p>
    <w:p w14:paraId="61008D51" w14:textId="793F0727" w:rsidR="00B024AC" w:rsidRPr="000A3C5C" w:rsidRDefault="00F070E2" w:rsidP="000A3C5C">
      <w:pPr>
        <w:pStyle w:val="ListParagraph"/>
        <w:numPr>
          <w:ilvl w:val="1"/>
          <w:numId w:val="64"/>
        </w:numPr>
        <w:ind w:left="709" w:hanging="709"/>
        <w:rPr>
          <w:lang w:val="en-US"/>
        </w:rPr>
      </w:pPr>
      <w:r w:rsidRPr="000A3C5C">
        <w:rPr>
          <w:bCs/>
        </w:rPr>
        <w:lastRenderedPageBreak/>
        <w:t>The</w:t>
      </w:r>
      <w:r w:rsidR="00905E10" w:rsidRPr="000A3C5C">
        <w:rPr>
          <w:bCs/>
        </w:rPr>
        <w:t xml:space="preserve"> adverse</w:t>
      </w:r>
      <w:r w:rsidRPr="000A3C5C">
        <w:rPr>
          <w:bCs/>
        </w:rPr>
        <w:t xml:space="preserve"> variance of £</w:t>
      </w:r>
      <w:r w:rsidR="00CB01F5">
        <w:rPr>
          <w:bCs/>
        </w:rPr>
        <w:t>0.</w:t>
      </w:r>
      <w:r w:rsidR="00EC704C" w:rsidRPr="000A3C5C">
        <w:rPr>
          <w:bCs/>
        </w:rPr>
        <w:t>394</w:t>
      </w:r>
      <w:r w:rsidR="00CB01F5">
        <w:rPr>
          <w:bCs/>
        </w:rPr>
        <w:t>m</w:t>
      </w:r>
      <w:r w:rsidR="00905E10" w:rsidRPr="000A3C5C">
        <w:rPr>
          <w:bCs/>
        </w:rPr>
        <w:t xml:space="preserve"> is due to the additional £</w:t>
      </w:r>
      <w:r w:rsidR="00CB01F5">
        <w:rPr>
          <w:bCs/>
        </w:rPr>
        <w:t>0.0</w:t>
      </w:r>
      <w:r w:rsidR="00905E10" w:rsidRPr="000A3C5C">
        <w:rPr>
          <w:bCs/>
        </w:rPr>
        <w:t>50</w:t>
      </w:r>
      <w:r w:rsidR="00CB01F5">
        <w:rPr>
          <w:bCs/>
        </w:rPr>
        <w:t>m</w:t>
      </w:r>
      <w:r w:rsidR="00905E10" w:rsidRPr="000A3C5C">
        <w:rPr>
          <w:bCs/>
        </w:rPr>
        <w:t xml:space="preserve"> legal cost and unachievable savings for the Property Acquisition Programme as detailed above.</w:t>
      </w:r>
    </w:p>
    <w:p w14:paraId="3E984129" w14:textId="77777777" w:rsidR="003A52A2" w:rsidRPr="00BB7FA8" w:rsidRDefault="003A52A2" w:rsidP="000A3C5C">
      <w:pPr>
        <w:spacing w:after="120"/>
        <w:ind w:left="1069"/>
        <w:jc w:val="both"/>
        <w:rPr>
          <w:bCs/>
          <w:lang w:val="en-US"/>
        </w:rPr>
      </w:pPr>
    </w:p>
    <w:p w14:paraId="1726E393" w14:textId="77777777" w:rsidR="00E338B3" w:rsidRDefault="00270959" w:rsidP="00CB1B58">
      <w:pPr>
        <w:pStyle w:val="ListParagraph"/>
        <w:spacing w:after="120"/>
        <w:ind w:left="851" w:hanging="142"/>
        <w:jc w:val="both"/>
        <w:rPr>
          <w:rFonts w:cs="Arial"/>
          <w:b/>
          <w:bCs/>
          <w:szCs w:val="24"/>
          <w:u w:val="single"/>
        </w:rPr>
      </w:pPr>
      <w:r w:rsidRPr="00BB0A57">
        <w:rPr>
          <w:rFonts w:cs="Arial"/>
          <w:b/>
          <w:bCs/>
          <w:szCs w:val="24"/>
          <w:u w:val="single"/>
        </w:rPr>
        <w:t>PEOPLE’S DIRECTORATE</w:t>
      </w:r>
    </w:p>
    <w:p w14:paraId="2525A8E5" w14:textId="77777777" w:rsidR="00E338B3" w:rsidRDefault="00E338B3" w:rsidP="000A2CF3">
      <w:pPr>
        <w:spacing w:after="120"/>
        <w:ind w:left="851" w:hanging="142"/>
        <w:jc w:val="both"/>
        <w:rPr>
          <w:bCs/>
        </w:rPr>
      </w:pPr>
      <w:r w:rsidRPr="004034F2">
        <w:rPr>
          <w:b/>
          <w:bCs/>
          <w:u w:val="single"/>
        </w:rPr>
        <w:t xml:space="preserve">Table </w:t>
      </w:r>
      <w:r>
        <w:rPr>
          <w:b/>
          <w:bCs/>
          <w:u w:val="single"/>
        </w:rPr>
        <w:t>4</w:t>
      </w:r>
      <w:r w:rsidRPr="004034F2">
        <w:rPr>
          <w:b/>
          <w:bCs/>
          <w:u w:val="single"/>
        </w:rPr>
        <w:t>: People’s Directorate Variance</w:t>
      </w:r>
      <w:r>
        <w:rPr>
          <w:bCs/>
        </w:rPr>
        <w:tab/>
      </w:r>
      <w:r>
        <w:rPr>
          <w:bCs/>
        </w:rPr>
        <w:tab/>
      </w:r>
    </w:p>
    <w:tbl>
      <w:tblPr>
        <w:tblW w:w="7579" w:type="dxa"/>
        <w:tblInd w:w="774" w:type="dxa"/>
        <w:tblLayout w:type="fixed"/>
        <w:tblLook w:val="04A0" w:firstRow="1" w:lastRow="0" w:firstColumn="1" w:lastColumn="0" w:noHBand="0" w:noVBand="1"/>
      </w:tblPr>
      <w:tblGrid>
        <w:gridCol w:w="1835"/>
        <w:gridCol w:w="1912"/>
        <w:gridCol w:w="1502"/>
        <w:gridCol w:w="2330"/>
      </w:tblGrid>
      <w:tr w:rsidR="00E338B3" w:rsidRPr="00AC2FFE" w14:paraId="37001A8F" w14:textId="77777777" w:rsidTr="000A3C5C">
        <w:trPr>
          <w:trHeight w:val="282"/>
        </w:trPr>
        <w:tc>
          <w:tcPr>
            <w:tcW w:w="1835" w:type="dxa"/>
            <w:vMerge w:val="restart"/>
            <w:tcBorders>
              <w:top w:val="single" w:sz="8" w:space="0" w:color="auto"/>
              <w:left w:val="single" w:sz="8" w:space="0" w:color="auto"/>
              <w:bottom w:val="nil"/>
              <w:right w:val="single" w:sz="8" w:space="0" w:color="auto"/>
            </w:tcBorders>
            <w:shd w:val="clear" w:color="auto" w:fill="auto"/>
            <w:vAlign w:val="center"/>
          </w:tcPr>
          <w:p w14:paraId="30CD191B" w14:textId="77777777" w:rsidR="00E338B3" w:rsidRPr="00AC2FFE" w:rsidRDefault="00E338B3" w:rsidP="003418AB">
            <w:pPr>
              <w:ind w:left="851" w:firstLineChars="300" w:firstLine="720"/>
              <w:rPr>
                <w:rFonts w:cs="Arial"/>
                <w:szCs w:val="24"/>
                <w:lang w:eastAsia="en-GB"/>
              </w:rPr>
            </w:pPr>
          </w:p>
        </w:tc>
        <w:tc>
          <w:tcPr>
            <w:tcW w:w="1912" w:type="dxa"/>
            <w:vMerge w:val="restart"/>
            <w:tcBorders>
              <w:top w:val="single" w:sz="8" w:space="0" w:color="auto"/>
              <w:left w:val="single" w:sz="8" w:space="0" w:color="auto"/>
              <w:bottom w:val="nil"/>
              <w:right w:val="single" w:sz="8" w:space="0" w:color="auto"/>
            </w:tcBorders>
            <w:shd w:val="clear" w:color="auto" w:fill="auto"/>
            <w:vAlign w:val="center"/>
          </w:tcPr>
          <w:p w14:paraId="4748F853" w14:textId="77777777" w:rsidR="00E338B3" w:rsidRPr="00404B4F" w:rsidRDefault="00E338B3" w:rsidP="003418AB">
            <w:pPr>
              <w:rPr>
                <w:rFonts w:cs="Arial"/>
                <w:b/>
                <w:szCs w:val="24"/>
                <w:lang w:eastAsia="en-GB"/>
              </w:rPr>
            </w:pPr>
            <w:r>
              <w:rPr>
                <w:rFonts w:cs="Arial"/>
                <w:b/>
                <w:szCs w:val="24"/>
                <w:lang w:eastAsia="en-GB"/>
              </w:rPr>
              <w:t>Quarter 3 Variance</w:t>
            </w:r>
          </w:p>
        </w:tc>
        <w:tc>
          <w:tcPr>
            <w:tcW w:w="1502" w:type="dxa"/>
            <w:vMerge w:val="restart"/>
            <w:tcBorders>
              <w:top w:val="single" w:sz="8" w:space="0" w:color="auto"/>
              <w:left w:val="single" w:sz="8" w:space="0" w:color="auto"/>
              <w:bottom w:val="nil"/>
              <w:right w:val="single" w:sz="8" w:space="0" w:color="auto"/>
            </w:tcBorders>
            <w:shd w:val="clear" w:color="auto" w:fill="auto"/>
            <w:vAlign w:val="center"/>
          </w:tcPr>
          <w:p w14:paraId="556B67FC" w14:textId="77777777" w:rsidR="00E338B3" w:rsidRPr="00404B4F" w:rsidRDefault="00E338B3" w:rsidP="003418AB">
            <w:pPr>
              <w:rPr>
                <w:rFonts w:cs="Arial"/>
                <w:b/>
                <w:szCs w:val="24"/>
                <w:lang w:eastAsia="en-GB"/>
              </w:rPr>
            </w:pPr>
            <w:r w:rsidRPr="00EC1E32">
              <w:rPr>
                <w:rFonts w:cs="Arial"/>
                <w:b/>
                <w:szCs w:val="24"/>
                <w:lang w:eastAsia="en-GB"/>
              </w:rPr>
              <w:t xml:space="preserve">Quarter </w:t>
            </w:r>
            <w:r>
              <w:rPr>
                <w:rFonts w:cs="Arial"/>
                <w:b/>
                <w:szCs w:val="24"/>
                <w:lang w:eastAsia="en-GB"/>
              </w:rPr>
              <w:t>2</w:t>
            </w:r>
            <w:r w:rsidRPr="00EC1E32">
              <w:rPr>
                <w:rFonts w:cs="Arial"/>
                <w:b/>
                <w:szCs w:val="24"/>
                <w:lang w:eastAsia="en-GB"/>
              </w:rPr>
              <w:t xml:space="preserve"> Variance</w:t>
            </w:r>
          </w:p>
        </w:tc>
        <w:tc>
          <w:tcPr>
            <w:tcW w:w="2330" w:type="dxa"/>
            <w:vMerge w:val="restart"/>
            <w:tcBorders>
              <w:top w:val="single" w:sz="8" w:space="0" w:color="auto"/>
              <w:left w:val="single" w:sz="8" w:space="0" w:color="auto"/>
              <w:bottom w:val="nil"/>
              <w:right w:val="single" w:sz="8" w:space="0" w:color="auto"/>
            </w:tcBorders>
            <w:shd w:val="clear" w:color="auto" w:fill="auto"/>
            <w:vAlign w:val="center"/>
          </w:tcPr>
          <w:p w14:paraId="1481149A" w14:textId="77777777" w:rsidR="00E338B3" w:rsidRPr="00AC2FFE" w:rsidRDefault="00E338B3" w:rsidP="003418AB">
            <w:pPr>
              <w:rPr>
                <w:rFonts w:cs="Arial"/>
                <w:szCs w:val="24"/>
                <w:lang w:eastAsia="en-GB"/>
              </w:rPr>
            </w:pPr>
            <w:r w:rsidRPr="00404B4F">
              <w:rPr>
                <w:rFonts w:cs="Arial"/>
                <w:b/>
                <w:szCs w:val="24"/>
                <w:lang w:eastAsia="en-GB"/>
              </w:rPr>
              <w:t xml:space="preserve">Movement between </w:t>
            </w:r>
            <w:r>
              <w:rPr>
                <w:rFonts w:cs="Arial"/>
                <w:b/>
                <w:szCs w:val="24"/>
                <w:lang w:eastAsia="en-GB"/>
              </w:rPr>
              <w:t>Quarter 3</w:t>
            </w:r>
            <w:r w:rsidRPr="00404B4F">
              <w:rPr>
                <w:rFonts w:cs="Arial"/>
                <w:b/>
                <w:szCs w:val="24"/>
                <w:lang w:eastAsia="en-GB"/>
              </w:rPr>
              <w:t xml:space="preserve"> and Quarter </w:t>
            </w:r>
            <w:r>
              <w:rPr>
                <w:rFonts w:cs="Arial"/>
                <w:b/>
                <w:szCs w:val="24"/>
                <w:lang w:eastAsia="en-GB"/>
              </w:rPr>
              <w:t>2</w:t>
            </w:r>
            <w:r w:rsidRPr="00404B4F">
              <w:rPr>
                <w:rFonts w:cs="Arial"/>
                <w:b/>
                <w:szCs w:val="24"/>
                <w:lang w:eastAsia="en-GB"/>
              </w:rPr>
              <w:t xml:space="preserve"> </w:t>
            </w:r>
          </w:p>
        </w:tc>
      </w:tr>
      <w:tr w:rsidR="00E338B3" w:rsidRPr="00AC2FFE" w14:paraId="20E2A318" w14:textId="77777777" w:rsidTr="000A3C5C">
        <w:trPr>
          <w:trHeight w:val="282"/>
        </w:trPr>
        <w:tc>
          <w:tcPr>
            <w:tcW w:w="1835" w:type="dxa"/>
            <w:vMerge/>
            <w:tcBorders>
              <w:top w:val="single" w:sz="8" w:space="0" w:color="auto"/>
              <w:left w:val="single" w:sz="8" w:space="0" w:color="auto"/>
              <w:bottom w:val="nil"/>
              <w:right w:val="single" w:sz="8" w:space="0" w:color="auto"/>
            </w:tcBorders>
            <w:vAlign w:val="center"/>
            <w:hideMark/>
          </w:tcPr>
          <w:p w14:paraId="1A07A5C9" w14:textId="77777777" w:rsidR="00E338B3" w:rsidRPr="00AC2FFE" w:rsidRDefault="00E338B3" w:rsidP="003418AB">
            <w:pPr>
              <w:ind w:left="851" w:hanging="851"/>
              <w:rPr>
                <w:rFonts w:cs="Arial"/>
                <w:szCs w:val="24"/>
                <w:lang w:eastAsia="en-GB"/>
              </w:rPr>
            </w:pPr>
          </w:p>
        </w:tc>
        <w:tc>
          <w:tcPr>
            <w:tcW w:w="1912" w:type="dxa"/>
            <w:vMerge/>
            <w:tcBorders>
              <w:top w:val="single" w:sz="8" w:space="0" w:color="auto"/>
              <w:left w:val="single" w:sz="8" w:space="0" w:color="auto"/>
              <w:bottom w:val="nil"/>
              <w:right w:val="single" w:sz="8" w:space="0" w:color="auto"/>
            </w:tcBorders>
            <w:vAlign w:val="center"/>
            <w:hideMark/>
          </w:tcPr>
          <w:p w14:paraId="326FCE96" w14:textId="77777777" w:rsidR="00E338B3" w:rsidRPr="00AC2FFE" w:rsidRDefault="00E338B3" w:rsidP="003418AB">
            <w:pPr>
              <w:ind w:left="851" w:hanging="851"/>
              <w:rPr>
                <w:rFonts w:cs="Arial"/>
                <w:szCs w:val="24"/>
                <w:lang w:eastAsia="en-GB"/>
              </w:rPr>
            </w:pPr>
          </w:p>
        </w:tc>
        <w:tc>
          <w:tcPr>
            <w:tcW w:w="1502" w:type="dxa"/>
            <w:vMerge/>
            <w:tcBorders>
              <w:top w:val="single" w:sz="8" w:space="0" w:color="auto"/>
              <w:left w:val="single" w:sz="8" w:space="0" w:color="auto"/>
              <w:bottom w:val="nil"/>
              <w:right w:val="single" w:sz="8" w:space="0" w:color="auto"/>
            </w:tcBorders>
            <w:vAlign w:val="center"/>
          </w:tcPr>
          <w:p w14:paraId="06551DAC" w14:textId="77777777" w:rsidR="00E338B3" w:rsidRPr="00AC2FFE" w:rsidRDefault="00E338B3" w:rsidP="003418AB">
            <w:pPr>
              <w:ind w:left="851" w:hanging="851"/>
              <w:rPr>
                <w:rFonts w:cs="Arial"/>
                <w:szCs w:val="24"/>
                <w:lang w:eastAsia="en-GB"/>
              </w:rPr>
            </w:pPr>
          </w:p>
        </w:tc>
        <w:tc>
          <w:tcPr>
            <w:tcW w:w="2330" w:type="dxa"/>
            <w:vMerge/>
            <w:tcBorders>
              <w:top w:val="single" w:sz="8" w:space="0" w:color="auto"/>
              <w:left w:val="single" w:sz="8" w:space="0" w:color="auto"/>
              <w:bottom w:val="nil"/>
              <w:right w:val="single" w:sz="8" w:space="0" w:color="auto"/>
            </w:tcBorders>
            <w:vAlign w:val="center"/>
          </w:tcPr>
          <w:p w14:paraId="0A600669" w14:textId="77777777" w:rsidR="00E338B3" w:rsidRPr="00AC2FFE" w:rsidRDefault="00E338B3" w:rsidP="003418AB">
            <w:pPr>
              <w:ind w:left="851" w:hanging="851"/>
              <w:rPr>
                <w:rFonts w:cs="Arial"/>
                <w:szCs w:val="24"/>
                <w:lang w:eastAsia="en-GB"/>
              </w:rPr>
            </w:pPr>
          </w:p>
        </w:tc>
      </w:tr>
      <w:tr w:rsidR="00E338B3" w:rsidRPr="00AC2FFE" w14:paraId="6123B95F" w14:textId="77777777" w:rsidTr="000A3C5C">
        <w:trPr>
          <w:trHeight w:val="282"/>
        </w:trPr>
        <w:tc>
          <w:tcPr>
            <w:tcW w:w="1835" w:type="dxa"/>
            <w:vMerge/>
            <w:tcBorders>
              <w:top w:val="single" w:sz="8" w:space="0" w:color="auto"/>
              <w:left w:val="single" w:sz="8" w:space="0" w:color="auto"/>
              <w:bottom w:val="nil"/>
              <w:right w:val="single" w:sz="8" w:space="0" w:color="auto"/>
            </w:tcBorders>
            <w:vAlign w:val="center"/>
            <w:hideMark/>
          </w:tcPr>
          <w:p w14:paraId="319784FE" w14:textId="77777777" w:rsidR="00E338B3" w:rsidRPr="00AC2FFE" w:rsidRDefault="00E338B3" w:rsidP="003418AB">
            <w:pPr>
              <w:ind w:left="851" w:hanging="851"/>
              <w:rPr>
                <w:rFonts w:cs="Arial"/>
                <w:szCs w:val="24"/>
                <w:lang w:eastAsia="en-GB"/>
              </w:rPr>
            </w:pPr>
          </w:p>
        </w:tc>
        <w:tc>
          <w:tcPr>
            <w:tcW w:w="1912" w:type="dxa"/>
            <w:vMerge/>
            <w:tcBorders>
              <w:top w:val="single" w:sz="8" w:space="0" w:color="auto"/>
              <w:left w:val="single" w:sz="8" w:space="0" w:color="auto"/>
              <w:bottom w:val="nil"/>
              <w:right w:val="single" w:sz="8" w:space="0" w:color="auto"/>
            </w:tcBorders>
            <w:vAlign w:val="center"/>
            <w:hideMark/>
          </w:tcPr>
          <w:p w14:paraId="1CD5E3BC" w14:textId="77777777" w:rsidR="00E338B3" w:rsidRPr="00AC2FFE" w:rsidRDefault="00E338B3" w:rsidP="003418AB">
            <w:pPr>
              <w:ind w:left="851" w:hanging="851"/>
              <w:rPr>
                <w:rFonts w:cs="Arial"/>
                <w:szCs w:val="24"/>
                <w:lang w:eastAsia="en-GB"/>
              </w:rPr>
            </w:pPr>
          </w:p>
        </w:tc>
        <w:tc>
          <w:tcPr>
            <w:tcW w:w="1502" w:type="dxa"/>
            <w:vMerge/>
            <w:tcBorders>
              <w:top w:val="single" w:sz="8" w:space="0" w:color="auto"/>
              <w:left w:val="single" w:sz="8" w:space="0" w:color="auto"/>
              <w:bottom w:val="nil"/>
              <w:right w:val="single" w:sz="8" w:space="0" w:color="auto"/>
            </w:tcBorders>
            <w:vAlign w:val="center"/>
          </w:tcPr>
          <w:p w14:paraId="548E6682" w14:textId="77777777" w:rsidR="00E338B3" w:rsidRPr="00AC2FFE" w:rsidRDefault="00E338B3" w:rsidP="003418AB">
            <w:pPr>
              <w:ind w:left="851" w:hanging="851"/>
              <w:rPr>
                <w:rFonts w:cs="Arial"/>
                <w:szCs w:val="24"/>
                <w:lang w:eastAsia="en-GB"/>
              </w:rPr>
            </w:pPr>
          </w:p>
        </w:tc>
        <w:tc>
          <w:tcPr>
            <w:tcW w:w="2330" w:type="dxa"/>
            <w:vMerge/>
            <w:tcBorders>
              <w:top w:val="single" w:sz="8" w:space="0" w:color="auto"/>
              <w:left w:val="single" w:sz="8" w:space="0" w:color="auto"/>
              <w:bottom w:val="nil"/>
              <w:right w:val="single" w:sz="8" w:space="0" w:color="auto"/>
            </w:tcBorders>
            <w:vAlign w:val="center"/>
          </w:tcPr>
          <w:p w14:paraId="75FF6071" w14:textId="77777777" w:rsidR="00E338B3" w:rsidRPr="00AC2FFE" w:rsidRDefault="00E338B3" w:rsidP="003418AB">
            <w:pPr>
              <w:ind w:left="851" w:hanging="851"/>
              <w:rPr>
                <w:rFonts w:cs="Arial"/>
                <w:szCs w:val="24"/>
                <w:lang w:eastAsia="en-GB"/>
              </w:rPr>
            </w:pPr>
          </w:p>
        </w:tc>
      </w:tr>
      <w:tr w:rsidR="00E338B3" w:rsidRPr="00AC2FFE" w14:paraId="68E116DE" w14:textId="77777777" w:rsidTr="000A3C5C">
        <w:trPr>
          <w:trHeight w:val="691"/>
        </w:trPr>
        <w:tc>
          <w:tcPr>
            <w:tcW w:w="1835" w:type="dxa"/>
            <w:vMerge/>
            <w:tcBorders>
              <w:top w:val="single" w:sz="8" w:space="0" w:color="auto"/>
              <w:left w:val="single" w:sz="8" w:space="0" w:color="auto"/>
              <w:bottom w:val="nil"/>
              <w:right w:val="single" w:sz="8" w:space="0" w:color="auto"/>
            </w:tcBorders>
            <w:vAlign w:val="center"/>
            <w:hideMark/>
          </w:tcPr>
          <w:p w14:paraId="328B6820" w14:textId="77777777" w:rsidR="00E338B3" w:rsidRPr="00AC2FFE" w:rsidRDefault="00E338B3" w:rsidP="003418AB">
            <w:pPr>
              <w:ind w:left="851" w:hanging="851"/>
              <w:rPr>
                <w:rFonts w:cs="Arial"/>
                <w:szCs w:val="24"/>
                <w:lang w:eastAsia="en-GB"/>
              </w:rPr>
            </w:pPr>
          </w:p>
        </w:tc>
        <w:tc>
          <w:tcPr>
            <w:tcW w:w="1912" w:type="dxa"/>
            <w:vMerge/>
            <w:tcBorders>
              <w:top w:val="single" w:sz="8" w:space="0" w:color="auto"/>
              <w:left w:val="single" w:sz="8" w:space="0" w:color="auto"/>
              <w:bottom w:val="nil"/>
              <w:right w:val="single" w:sz="8" w:space="0" w:color="auto"/>
            </w:tcBorders>
            <w:vAlign w:val="center"/>
            <w:hideMark/>
          </w:tcPr>
          <w:p w14:paraId="29265BB5" w14:textId="77777777" w:rsidR="00E338B3" w:rsidRPr="00AC2FFE" w:rsidRDefault="00E338B3" w:rsidP="003418AB">
            <w:pPr>
              <w:ind w:left="851" w:hanging="851"/>
              <w:rPr>
                <w:rFonts w:cs="Arial"/>
                <w:szCs w:val="24"/>
                <w:lang w:eastAsia="en-GB"/>
              </w:rPr>
            </w:pPr>
          </w:p>
        </w:tc>
        <w:tc>
          <w:tcPr>
            <w:tcW w:w="1502" w:type="dxa"/>
            <w:vMerge/>
            <w:tcBorders>
              <w:top w:val="single" w:sz="8" w:space="0" w:color="auto"/>
              <w:left w:val="single" w:sz="8" w:space="0" w:color="auto"/>
              <w:bottom w:val="nil"/>
              <w:right w:val="single" w:sz="8" w:space="0" w:color="auto"/>
            </w:tcBorders>
            <w:vAlign w:val="center"/>
          </w:tcPr>
          <w:p w14:paraId="3F98FE8E" w14:textId="77777777" w:rsidR="00E338B3" w:rsidRPr="00AC2FFE" w:rsidRDefault="00E338B3" w:rsidP="003418AB">
            <w:pPr>
              <w:ind w:left="851" w:hanging="851"/>
              <w:rPr>
                <w:rFonts w:cs="Arial"/>
                <w:szCs w:val="24"/>
                <w:lang w:eastAsia="en-GB"/>
              </w:rPr>
            </w:pPr>
          </w:p>
        </w:tc>
        <w:tc>
          <w:tcPr>
            <w:tcW w:w="2330" w:type="dxa"/>
            <w:vMerge/>
            <w:tcBorders>
              <w:top w:val="single" w:sz="8" w:space="0" w:color="auto"/>
              <w:left w:val="single" w:sz="8" w:space="0" w:color="auto"/>
              <w:bottom w:val="nil"/>
              <w:right w:val="single" w:sz="8" w:space="0" w:color="auto"/>
            </w:tcBorders>
            <w:vAlign w:val="center"/>
          </w:tcPr>
          <w:p w14:paraId="6B6A5238" w14:textId="77777777" w:rsidR="00E338B3" w:rsidRPr="00AC2FFE" w:rsidRDefault="00E338B3" w:rsidP="003418AB">
            <w:pPr>
              <w:ind w:left="851" w:hanging="851"/>
              <w:rPr>
                <w:rFonts w:cs="Arial"/>
                <w:szCs w:val="24"/>
                <w:lang w:eastAsia="en-GB"/>
              </w:rPr>
            </w:pPr>
          </w:p>
        </w:tc>
      </w:tr>
      <w:tr w:rsidR="00E338B3" w:rsidRPr="00AC2FFE" w14:paraId="2B911D8D" w14:textId="77777777" w:rsidTr="000A3C5C">
        <w:trPr>
          <w:trHeight w:val="43"/>
        </w:trPr>
        <w:tc>
          <w:tcPr>
            <w:tcW w:w="1835" w:type="dxa"/>
            <w:vMerge/>
            <w:tcBorders>
              <w:top w:val="single" w:sz="8" w:space="0" w:color="auto"/>
              <w:left w:val="single" w:sz="8" w:space="0" w:color="auto"/>
              <w:bottom w:val="nil"/>
              <w:right w:val="single" w:sz="8" w:space="0" w:color="auto"/>
            </w:tcBorders>
            <w:vAlign w:val="center"/>
            <w:hideMark/>
          </w:tcPr>
          <w:p w14:paraId="1E372B7A" w14:textId="77777777" w:rsidR="00E338B3" w:rsidRPr="00AC2FFE" w:rsidRDefault="00E338B3" w:rsidP="003418AB">
            <w:pPr>
              <w:ind w:left="851" w:hanging="851"/>
              <w:rPr>
                <w:rFonts w:cs="Arial"/>
                <w:szCs w:val="24"/>
                <w:lang w:eastAsia="en-GB"/>
              </w:rPr>
            </w:pPr>
          </w:p>
        </w:tc>
        <w:tc>
          <w:tcPr>
            <w:tcW w:w="1912" w:type="dxa"/>
            <w:tcBorders>
              <w:top w:val="nil"/>
              <w:left w:val="nil"/>
              <w:bottom w:val="nil"/>
              <w:right w:val="single" w:sz="8" w:space="0" w:color="auto"/>
            </w:tcBorders>
            <w:shd w:val="clear" w:color="auto" w:fill="auto"/>
            <w:vAlign w:val="center"/>
            <w:hideMark/>
          </w:tcPr>
          <w:p w14:paraId="458B9F38" w14:textId="77777777" w:rsidR="00E338B3" w:rsidRPr="00AC2FFE" w:rsidRDefault="00E338B3" w:rsidP="003418AB">
            <w:pPr>
              <w:ind w:left="851" w:hanging="851"/>
              <w:jc w:val="center"/>
              <w:rPr>
                <w:rFonts w:cs="Arial"/>
                <w:b/>
                <w:bCs/>
                <w:szCs w:val="24"/>
                <w:lang w:eastAsia="en-GB"/>
              </w:rPr>
            </w:pPr>
            <w:r w:rsidRPr="00AC2FFE">
              <w:rPr>
                <w:rFonts w:cs="Arial"/>
                <w:b/>
                <w:bCs/>
                <w:szCs w:val="24"/>
                <w:lang w:eastAsia="en-GB"/>
              </w:rPr>
              <w:t>£'000</w:t>
            </w:r>
          </w:p>
        </w:tc>
        <w:tc>
          <w:tcPr>
            <w:tcW w:w="1502" w:type="dxa"/>
            <w:tcBorders>
              <w:top w:val="nil"/>
              <w:left w:val="nil"/>
              <w:bottom w:val="nil"/>
              <w:right w:val="single" w:sz="8" w:space="0" w:color="auto"/>
            </w:tcBorders>
            <w:shd w:val="clear" w:color="auto" w:fill="auto"/>
            <w:vAlign w:val="center"/>
            <w:hideMark/>
          </w:tcPr>
          <w:p w14:paraId="1867EE27" w14:textId="77777777" w:rsidR="00E338B3" w:rsidRPr="00AC2FFE" w:rsidRDefault="00E338B3" w:rsidP="003418AB">
            <w:pPr>
              <w:ind w:left="851" w:hanging="851"/>
              <w:jc w:val="center"/>
              <w:rPr>
                <w:rFonts w:cs="Arial"/>
                <w:b/>
                <w:bCs/>
                <w:szCs w:val="24"/>
                <w:lang w:eastAsia="en-GB"/>
              </w:rPr>
            </w:pPr>
            <w:r w:rsidRPr="00AC2FFE">
              <w:rPr>
                <w:rFonts w:cs="Arial"/>
                <w:b/>
                <w:bCs/>
                <w:szCs w:val="24"/>
                <w:lang w:eastAsia="en-GB"/>
              </w:rPr>
              <w:t>£'000</w:t>
            </w:r>
          </w:p>
        </w:tc>
        <w:tc>
          <w:tcPr>
            <w:tcW w:w="2330" w:type="dxa"/>
            <w:tcBorders>
              <w:top w:val="nil"/>
              <w:left w:val="nil"/>
              <w:bottom w:val="nil"/>
              <w:right w:val="single" w:sz="8" w:space="0" w:color="auto"/>
            </w:tcBorders>
            <w:shd w:val="clear" w:color="auto" w:fill="auto"/>
            <w:vAlign w:val="center"/>
            <w:hideMark/>
          </w:tcPr>
          <w:p w14:paraId="66281A98" w14:textId="77777777" w:rsidR="00E338B3" w:rsidRPr="00AC2FFE" w:rsidRDefault="00E338B3" w:rsidP="003418AB">
            <w:pPr>
              <w:ind w:left="851" w:hanging="851"/>
              <w:jc w:val="center"/>
              <w:rPr>
                <w:rFonts w:cs="Arial"/>
                <w:b/>
                <w:bCs/>
                <w:szCs w:val="24"/>
                <w:lang w:eastAsia="en-GB"/>
              </w:rPr>
            </w:pPr>
            <w:r w:rsidRPr="00AC2FFE">
              <w:rPr>
                <w:rFonts w:cs="Arial"/>
                <w:b/>
                <w:bCs/>
                <w:szCs w:val="24"/>
                <w:lang w:eastAsia="en-GB"/>
              </w:rPr>
              <w:t>£'000</w:t>
            </w:r>
          </w:p>
        </w:tc>
      </w:tr>
      <w:tr w:rsidR="00E338B3" w:rsidRPr="00AC2FFE" w14:paraId="06117E8F" w14:textId="77777777" w:rsidTr="000A3C5C">
        <w:trPr>
          <w:trHeight w:val="307"/>
        </w:trPr>
        <w:tc>
          <w:tcPr>
            <w:tcW w:w="1835" w:type="dxa"/>
            <w:tcBorders>
              <w:top w:val="single" w:sz="4" w:space="0" w:color="auto"/>
              <w:left w:val="single" w:sz="4" w:space="0" w:color="auto"/>
              <w:bottom w:val="single" w:sz="4" w:space="0" w:color="auto"/>
              <w:right w:val="single" w:sz="4" w:space="0" w:color="auto"/>
            </w:tcBorders>
            <w:shd w:val="clear" w:color="auto" w:fill="auto"/>
            <w:hideMark/>
          </w:tcPr>
          <w:p w14:paraId="79276603" w14:textId="77777777" w:rsidR="00E338B3" w:rsidRPr="00AC2FFE" w:rsidRDefault="00E338B3" w:rsidP="003418AB">
            <w:pPr>
              <w:ind w:left="851" w:hanging="851"/>
              <w:rPr>
                <w:rFonts w:cs="Arial"/>
                <w:szCs w:val="24"/>
                <w:lang w:eastAsia="en-GB"/>
              </w:rPr>
            </w:pPr>
            <w:r w:rsidRPr="00AC2FFE">
              <w:rPr>
                <w:rFonts w:cs="Arial"/>
                <w:szCs w:val="24"/>
                <w:lang w:eastAsia="en-GB"/>
              </w:rPr>
              <w:t>Adults</w:t>
            </w:r>
          </w:p>
        </w:tc>
        <w:tc>
          <w:tcPr>
            <w:tcW w:w="1912" w:type="dxa"/>
            <w:tcBorders>
              <w:top w:val="single" w:sz="4" w:space="0" w:color="auto"/>
              <w:left w:val="nil"/>
              <w:bottom w:val="single" w:sz="4" w:space="0" w:color="auto"/>
              <w:right w:val="single" w:sz="4" w:space="0" w:color="auto"/>
            </w:tcBorders>
            <w:shd w:val="clear" w:color="000000" w:fill="FFFFFF"/>
            <w:noWrap/>
            <w:vAlign w:val="bottom"/>
            <w:hideMark/>
          </w:tcPr>
          <w:p w14:paraId="77817F57" w14:textId="77777777" w:rsidR="00E338B3" w:rsidRPr="00AC2FFE" w:rsidRDefault="00E338B3" w:rsidP="003418AB">
            <w:pPr>
              <w:ind w:left="851" w:hanging="851"/>
              <w:jc w:val="center"/>
              <w:rPr>
                <w:rFonts w:cs="Arial"/>
                <w:color w:val="000000"/>
                <w:sz w:val="22"/>
                <w:szCs w:val="22"/>
                <w:lang w:eastAsia="en-GB"/>
              </w:rPr>
            </w:pPr>
            <w:r w:rsidRPr="00AC2FFE">
              <w:rPr>
                <w:rFonts w:cs="Arial"/>
                <w:color w:val="000000"/>
                <w:sz w:val="22"/>
                <w:szCs w:val="24"/>
                <w:lang w:eastAsia="en-GB"/>
              </w:rPr>
              <w:t> </w:t>
            </w:r>
            <w:r>
              <w:rPr>
                <w:rFonts w:cs="Arial"/>
                <w:color w:val="000000"/>
                <w:sz w:val="22"/>
                <w:szCs w:val="24"/>
                <w:lang w:eastAsia="en-GB"/>
              </w:rPr>
              <w:t>439</w:t>
            </w:r>
          </w:p>
        </w:tc>
        <w:tc>
          <w:tcPr>
            <w:tcW w:w="1502" w:type="dxa"/>
            <w:tcBorders>
              <w:top w:val="single" w:sz="4" w:space="0" w:color="auto"/>
              <w:left w:val="nil"/>
              <w:bottom w:val="single" w:sz="4" w:space="0" w:color="auto"/>
              <w:right w:val="single" w:sz="4" w:space="0" w:color="auto"/>
            </w:tcBorders>
            <w:shd w:val="clear" w:color="000000" w:fill="FFFFFF"/>
            <w:noWrap/>
            <w:vAlign w:val="bottom"/>
            <w:hideMark/>
          </w:tcPr>
          <w:p w14:paraId="3DFF2F5B" w14:textId="77777777" w:rsidR="00E338B3" w:rsidRPr="00AC2FFE" w:rsidRDefault="00E338B3" w:rsidP="003418AB">
            <w:pPr>
              <w:ind w:left="851" w:hanging="851"/>
              <w:jc w:val="center"/>
              <w:rPr>
                <w:rFonts w:cs="Arial"/>
                <w:color w:val="000000"/>
                <w:sz w:val="22"/>
                <w:szCs w:val="22"/>
                <w:lang w:eastAsia="en-GB"/>
              </w:rPr>
            </w:pPr>
            <w:r w:rsidRPr="00AC2FFE">
              <w:rPr>
                <w:rFonts w:cs="Arial"/>
                <w:color w:val="000000"/>
                <w:sz w:val="22"/>
                <w:szCs w:val="24"/>
                <w:lang w:eastAsia="en-GB"/>
              </w:rPr>
              <w:t xml:space="preserve">  </w:t>
            </w:r>
            <w:r>
              <w:rPr>
                <w:rFonts w:cs="Arial"/>
                <w:color w:val="000000"/>
                <w:sz w:val="22"/>
                <w:szCs w:val="24"/>
                <w:lang w:eastAsia="en-GB"/>
              </w:rPr>
              <w:t>439</w:t>
            </w:r>
          </w:p>
        </w:tc>
        <w:tc>
          <w:tcPr>
            <w:tcW w:w="2330" w:type="dxa"/>
            <w:tcBorders>
              <w:top w:val="single" w:sz="4" w:space="0" w:color="auto"/>
              <w:left w:val="nil"/>
              <w:bottom w:val="single" w:sz="4" w:space="0" w:color="auto"/>
              <w:right w:val="single" w:sz="4" w:space="0" w:color="auto"/>
            </w:tcBorders>
            <w:shd w:val="clear" w:color="000000" w:fill="FFFFFF"/>
            <w:noWrap/>
            <w:vAlign w:val="bottom"/>
          </w:tcPr>
          <w:p w14:paraId="01C88E8E" w14:textId="77777777" w:rsidR="00E338B3" w:rsidRPr="00AC2FFE" w:rsidRDefault="00E338B3" w:rsidP="003418AB">
            <w:pPr>
              <w:ind w:left="851" w:hanging="851"/>
              <w:jc w:val="center"/>
              <w:rPr>
                <w:rFonts w:cs="Arial"/>
                <w:color w:val="000000"/>
                <w:sz w:val="22"/>
                <w:szCs w:val="22"/>
                <w:lang w:eastAsia="en-GB"/>
              </w:rPr>
            </w:pPr>
            <w:r>
              <w:rPr>
                <w:rFonts w:cs="Arial"/>
                <w:color w:val="000000"/>
                <w:sz w:val="22"/>
                <w:szCs w:val="24"/>
                <w:lang w:eastAsia="en-GB"/>
              </w:rPr>
              <w:t>-</w:t>
            </w:r>
          </w:p>
        </w:tc>
      </w:tr>
      <w:tr w:rsidR="00E338B3" w:rsidRPr="00AC2FFE" w14:paraId="27FEA84F" w14:textId="77777777" w:rsidTr="000A3C5C">
        <w:trPr>
          <w:trHeight w:val="307"/>
        </w:trPr>
        <w:tc>
          <w:tcPr>
            <w:tcW w:w="1835" w:type="dxa"/>
            <w:tcBorders>
              <w:top w:val="nil"/>
              <w:left w:val="single" w:sz="4" w:space="0" w:color="auto"/>
              <w:bottom w:val="single" w:sz="4" w:space="0" w:color="auto"/>
              <w:right w:val="single" w:sz="4" w:space="0" w:color="auto"/>
            </w:tcBorders>
            <w:shd w:val="clear" w:color="auto" w:fill="auto"/>
            <w:hideMark/>
          </w:tcPr>
          <w:p w14:paraId="6830E46E" w14:textId="77777777" w:rsidR="00E338B3" w:rsidRPr="00AC2FFE" w:rsidRDefault="00E338B3" w:rsidP="003418AB">
            <w:pPr>
              <w:ind w:left="851" w:hanging="851"/>
              <w:rPr>
                <w:rFonts w:cs="Arial"/>
                <w:szCs w:val="24"/>
                <w:lang w:eastAsia="en-GB"/>
              </w:rPr>
            </w:pPr>
            <w:r w:rsidRPr="00AC2FFE">
              <w:rPr>
                <w:rFonts w:cs="Arial"/>
                <w:szCs w:val="24"/>
                <w:lang w:eastAsia="en-GB"/>
              </w:rPr>
              <w:t>Public Health</w:t>
            </w:r>
          </w:p>
        </w:tc>
        <w:tc>
          <w:tcPr>
            <w:tcW w:w="1912" w:type="dxa"/>
            <w:tcBorders>
              <w:top w:val="nil"/>
              <w:left w:val="nil"/>
              <w:bottom w:val="single" w:sz="4" w:space="0" w:color="auto"/>
              <w:right w:val="single" w:sz="4" w:space="0" w:color="auto"/>
            </w:tcBorders>
            <w:shd w:val="clear" w:color="000000" w:fill="FFFFFF"/>
            <w:noWrap/>
            <w:vAlign w:val="bottom"/>
            <w:hideMark/>
          </w:tcPr>
          <w:p w14:paraId="36B82E71" w14:textId="020258A9" w:rsidR="00E338B3" w:rsidRPr="00AC2FFE" w:rsidRDefault="00E338B3">
            <w:pPr>
              <w:ind w:left="851" w:hanging="851"/>
              <w:jc w:val="center"/>
              <w:rPr>
                <w:rFonts w:cs="Arial"/>
                <w:color w:val="000000"/>
                <w:sz w:val="22"/>
                <w:szCs w:val="22"/>
                <w:lang w:eastAsia="en-GB"/>
              </w:rPr>
            </w:pPr>
            <w:r w:rsidRPr="00AC2FFE">
              <w:rPr>
                <w:rFonts w:cs="Arial"/>
                <w:color w:val="000000"/>
                <w:sz w:val="22"/>
                <w:szCs w:val="24"/>
                <w:lang w:eastAsia="en-GB"/>
              </w:rPr>
              <w:t> </w:t>
            </w:r>
            <w:r w:rsidR="00900E12">
              <w:rPr>
                <w:rFonts w:cs="Arial"/>
                <w:color w:val="000000"/>
                <w:sz w:val="22"/>
                <w:szCs w:val="24"/>
                <w:lang w:eastAsia="en-GB"/>
              </w:rPr>
              <w:t>-</w:t>
            </w:r>
          </w:p>
        </w:tc>
        <w:tc>
          <w:tcPr>
            <w:tcW w:w="1502" w:type="dxa"/>
            <w:tcBorders>
              <w:top w:val="nil"/>
              <w:left w:val="nil"/>
              <w:bottom w:val="single" w:sz="4" w:space="0" w:color="auto"/>
              <w:right w:val="single" w:sz="4" w:space="0" w:color="auto"/>
            </w:tcBorders>
            <w:shd w:val="clear" w:color="000000" w:fill="FFFFFF"/>
            <w:noWrap/>
            <w:vAlign w:val="bottom"/>
            <w:hideMark/>
          </w:tcPr>
          <w:p w14:paraId="52DA791F" w14:textId="77777777" w:rsidR="00E338B3" w:rsidRPr="00AC2FFE" w:rsidRDefault="00E338B3" w:rsidP="003418AB">
            <w:pPr>
              <w:ind w:left="851" w:hanging="851"/>
              <w:jc w:val="center"/>
              <w:rPr>
                <w:rFonts w:cs="Arial"/>
                <w:color w:val="000000"/>
                <w:sz w:val="22"/>
                <w:szCs w:val="22"/>
                <w:lang w:eastAsia="en-GB"/>
              </w:rPr>
            </w:pPr>
            <w:r w:rsidRPr="00AC2FFE">
              <w:rPr>
                <w:rFonts w:cs="Arial"/>
                <w:color w:val="000000"/>
                <w:sz w:val="22"/>
                <w:szCs w:val="24"/>
                <w:lang w:eastAsia="en-GB"/>
              </w:rPr>
              <w:t xml:space="preserve">     -</w:t>
            </w:r>
          </w:p>
        </w:tc>
        <w:tc>
          <w:tcPr>
            <w:tcW w:w="2330" w:type="dxa"/>
            <w:tcBorders>
              <w:top w:val="nil"/>
              <w:left w:val="nil"/>
              <w:bottom w:val="single" w:sz="4" w:space="0" w:color="auto"/>
              <w:right w:val="single" w:sz="4" w:space="0" w:color="auto"/>
            </w:tcBorders>
            <w:shd w:val="clear" w:color="000000" w:fill="FFFFFF"/>
            <w:noWrap/>
            <w:vAlign w:val="bottom"/>
          </w:tcPr>
          <w:p w14:paraId="22656C76" w14:textId="2F0FF7AE" w:rsidR="00E338B3" w:rsidRPr="00AC2FFE" w:rsidRDefault="00900E12" w:rsidP="003418AB">
            <w:pPr>
              <w:ind w:left="851" w:hanging="851"/>
              <w:jc w:val="center"/>
              <w:rPr>
                <w:rFonts w:cs="Arial"/>
                <w:color w:val="000000"/>
                <w:sz w:val="22"/>
                <w:szCs w:val="22"/>
                <w:lang w:eastAsia="en-GB"/>
              </w:rPr>
            </w:pPr>
            <w:r>
              <w:rPr>
                <w:rFonts w:cs="Arial"/>
                <w:color w:val="FF0000"/>
                <w:sz w:val="22"/>
                <w:szCs w:val="24"/>
                <w:lang w:eastAsia="en-GB"/>
              </w:rPr>
              <w:t>-</w:t>
            </w:r>
          </w:p>
        </w:tc>
      </w:tr>
      <w:tr w:rsidR="00E338B3" w:rsidRPr="00AC2FFE" w14:paraId="754DEF07" w14:textId="77777777" w:rsidTr="000A3C5C">
        <w:trPr>
          <w:trHeight w:val="307"/>
        </w:trPr>
        <w:tc>
          <w:tcPr>
            <w:tcW w:w="1835" w:type="dxa"/>
            <w:tcBorders>
              <w:top w:val="nil"/>
              <w:left w:val="single" w:sz="4" w:space="0" w:color="auto"/>
              <w:bottom w:val="single" w:sz="4" w:space="0" w:color="auto"/>
              <w:right w:val="single" w:sz="4" w:space="0" w:color="auto"/>
            </w:tcBorders>
            <w:shd w:val="clear" w:color="auto" w:fill="auto"/>
            <w:hideMark/>
          </w:tcPr>
          <w:p w14:paraId="6F8BB670" w14:textId="77777777" w:rsidR="00E338B3" w:rsidRPr="00AC2FFE" w:rsidRDefault="00E338B3" w:rsidP="003418AB">
            <w:pPr>
              <w:ind w:left="851" w:hanging="851"/>
              <w:rPr>
                <w:rFonts w:cs="Arial"/>
                <w:szCs w:val="24"/>
                <w:lang w:eastAsia="en-GB"/>
              </w:rPr>
            </w:pPr>
            <w:r w:rsidRPr="00AC2FFE">
              <w:rPr>
                <w:rFonts w:cs="Arial"/>
                <w:szCs w:val="24"/>
                <w:lang w:eastAsia="en-GB"/>
              </w:rPr>
              <w:t>Children</w:t>
            </w:r>
          </w:p>
        </w:tc>
        <w:tc>
          <w:tcPr>
            <w:tcW w:w="1912" w:type="dxa"/>
            <w:tcBorders>
              <w:top w:val="nil"/>
              <w:left w:val="nil"/>
              <w:bottom w:val="single" w:sz="4" w:space="0" w:color="auto"/>
              <w:right w:val="single" w:sz="4" w:space="0" w:color="auto"/>
            </w:tcBorders>
            <w:shd w:val="clear" w:color="000000" w:fill="FFFFFF"/>
            <w:noWrap/>
            <w:vAlign w:val="bottom"/>
            <w:hideMark/>
          </w:tcPr>
          <w:p w14:paraId="5DE2DB6D" w14:textId="77777777" w:rsidR="00E338B3" w:rsidRPr="00AC2FFE" w:rsidRDefault="00E338B3" w:rsidP="003418AB">
            <w:pPr>
              <w:ind w:left="851" w:hanging="851"/>
              <w:jc w:val="center"/>
              <w:rPr>
                <w:rFonts w:cs="Arial"/>
                <w:color w:val="000000"/>
                <w:sz w:val="22"/>
                <w:szCs w:val="22"/>
                <w:lang w:eastAsia="en-GB"/>
              </w:rPr>
            </w:pPr>
            <w:r w:rsidRPr="00AC2FFE">
              <w:rPr>
                <w:rFonts w:cs="Arial"/>
                <w:color w:val="000000"/>
                <w:sz w:val="22"/>
                <w:szCs w:val="24"/>
                <w:lang w:eastAsia="en-GB"/>
              </w:rPr>
              <w:t> </w:t>
            </w:r>
            <w:r>
              <w:rPr>
                <w:rFonts w:cs="Arial"/>
                <w:color w:val="000000"/>
                <w:sz w:val="22"/>
                <w:szCs w:val="24"/>
                <w:lang w:eastAsia="en-GB"/>
              </w:rPr>
              <w:t>2,780</w:t>
            </w:r>
          </w:p>
        </w:tc>
        <w:tc>
          <w:tcPr>
            <w:tcW w:w="1502" w:type="dxa"/>
            <w:tcBorders>
              <w:top w:val="nil"/>
              <w:left w:val="nil"/>
              <w:bottom w:val="single" w:sz="4" w:space="0" w:color="auto"/>
              <w:right w:val="single" w:sz="4" w:space="0" w:color="auto"/>
            </w:tcBorders>
            <w:shd w:val="clear" w:color="000000" w:fill="FFFFFF"/>
            <w:noWrap/>
            <w:vAlign w:val="bottom"/>
            <w:hideMark/>
          </w:tcPr>
          <w:p w14:paraId="6308BE49" w14:textId="77777777" w:rsidR="00E338B3" w:rsidRPr="00AC2FFE" w:rsidRDefault="00E338B3" w:rsidP="003418AB">
            <w:pPr>
              <w:ind w:left="851" w:hanging="851"/>
              <w:jc w:val="center"/>
              <w:rPr>
                <w:rFonts w:cs="Arial"/>
                <w:color w:val="000000"/>
                <w:sz w:val="22"/>
                <w:szCs w:val="22"/>
                <w:lang w:eastAsia="en-GB"/>
              </w:rPr>
            </w:pPr>
            <w:r>
              <w:rPr>
                <w:rFonts w:cs="Arial"/>
                <w:color w:val="000000"/>
                <w:sz w:val="22"/>
                <w:szCs w:val="24"/>
                <w:lang w:eastAsia="en-GB"/>
              </w:rPr>
              <w:t>3,001</w:t>
            </w:r>
          </w:p>
        </w:tc>
        <w:tc>
          <w:tcPr>
            <w:tcW w:w="2330" w:type="dxa"/>
            <w:tcBorders>
              <w:top w:val="nil"/>
              <w:left w:val="nil"/>
              <w:bottom w:val="single" w:sz="4" w:space="0" w:color="auto"/>
              <w:right w:val="single" w:sz="4" w:space="0" w:color="auto"/>
            </w:tcBorders>
            <w:shd w:val="clear" w:color="000000" w:fill="FFFFFF"/>
            <w:noWrap/>
            <w:vAlign w:val="bottom"/>
            <w:hideMark/>
          </w:tcPr>
          <w:p w14:paraId="6178E09E" w14:textId="77777777" w:rsidR="00E338B3" w:rsidRPr="00AC2FFE" w:rsidRDefault="00E338B3" w:rsidP="003418AB">
            <w:pPr>
              <w:ind w:left="851" w:hanging="851"/>
              <w:jc w:val="center"/>
              <w:rPr>
                <w:rFonts w:cs="Arial"/>
                <w:color w:val="000000"/>
                <w:sz w:val="22"/>
                <w:szCs w:val="22"/>
                <w:lang w:eastAsia="en-GB"/>
              </w:rPr>
            </w:pPr>
            <w:r w:rsidRPr="00AC2FFE">
              <w:rPr>
                <w:rFonts w:cs="Arial"/>
                <w:color w:val="000000"/>
                <w:sz w:val="22"/>
                <w:szCs w:val="24"/>
                <w:lang w:eastAsia="en-GB"/>
              </w:rPr>
              <w:t> (</w:t>
            </w:r>
            <w:r>
              <w:rPr>
                <w:rFonts w:cs="Arial"/>
                <w:color w:val="000000"/>
                <w:sz w:val="22"/>
                <w:szCs w:val="24"/>
                <w:lang w:eastAsia="en-GB"/>
              </w:rPr>
              <w:t>221)</w:t>
            </w:r>
          </w:p>
        </w:tc>
      </w:tr>
      <w:tr w:rsidR="00E338B3" w:rsidRPr="00AC2FFE" w14:paraId="3E4D02BF" w14:textId="77777777" w:rsidTr="000A3C5C">
        <w:trPr>
          <w:trHeight w:val="48"/>
        </w:trPr>
        <w:tc>
          <w:tcPr>
            <w:tcW w:w="1835" w:type="dxa"/>
            <w:tcBorders>
              <w:top w:val="nil"/>
              <w:left w:val="single" w:sz="4" w:space="0" w:color="auto"/>
              <w:bottom w:val="single" w:sz="4" w:space="0" w:color="auto"/>
              <w:right w:val="single" w:sz="4" w:space="0" w:color="auto"/>
            </w:tcBorders>
            <w:shd w:val="clear" w:color="auto" w:fill="auto"/>
            <w:hideMark/>
          </w:tcPr>
          <w:p w14:paraId="49D7D362" w14:textId="77777777" w:rsidR="00E338B3" w:rsidRPr="00AC2FFE" w:rsidRDefault="00E338B3" w:rsidP="003418AB">
            <w:pPr>
              <w:ind w:left="851" w:hanging="851"/>
              <w:rPr>
                <w:rFonts w:cs="Arial"/>
                <w:b/>
                <w:bCs/>
                <w:szCs w:val="24"/>
                <w:lang w:eastAsia="en-GB"/>
              </w:rPr>
            </w:pPr>
            <w:r w:rsidRPr="00AC2FFE">
              <w:rPr>
                <w:rFonts w:cs="Arial"/>
                <w:b/>
                <w:bCs/>
                <w:szCs w:val="24"/>
                <w:lang w:eastAsia="en-GB"/>
              </w:rPr>
              <w:t>Total</w:t>
            </w:r>
          </w:p>
        </w:tc>
        <w:tc>
          <w:tcPr>
            <w:tcW w:w="1912" w:type="dxa"/>
            <w:tcBorders>
              <w:top w:val="nil"/>
              <w:left w:val="nil"/>
              <w:bottom w:val="single" w:sz="4" w:space="0" w:color="auto"/>
              <w:right w:val="single" w:sz="4" w:space="0" w:color="auto"/>
            </w:tcBorders>
            <w:shd w:val="clear" w:color="000000" w:fill="FFFFFF"/>
            <w:noWrap/>
            <w:vAlign w:val="bottom"/>
            <w:hideMark/>
          </w:tcPr>
          <w:p w14:paraId="77D52965" w14:textId="129D8F1B" w:rsidR="00E338B3" w:rsidRPr="00AC2FFE" w:rsidRDefault="00E338B3" w:rsidP="003418AB">
            <w:pPr>
              <w:ind w:left="851" w:hanging="851"/>
              <w:jc w:val="center"/>
              <w:rPr>
                <w:rFonts w:cs="Arial"/>
                <w:b/>
                <w:bCs/>
                <w:color w:val="000000"/>
                <w:sz w:val="22"/>
                <w:szCs w:val="22"/>
                <w:lang w:eastAsia="en-GB"/>
              </w:rPr>
            </w:pPr>
            <w:r w:rsidRPr="00AC2FFE">
              <w:rPr>
                <w:rFonts w:cs="Arial"/>
                <w:b/>
                <w:bCs/>
                <w:color w:val="000000"/>
                <w:sz w:val="22"/>
                <w:szCs w:val="24"/>
                <w:lang w:eastAsia="en-GB"/>
              </w:rPr>
              <w:t> </w:t>
            </w:r>
            <w:r w:rsidR="00900E12">
              <w:rPr>
                <w:rFonts w:cs="Arial"/>
                <w:b/>
                <w:bCs/>
                <w:color w:val="000000"/>
                <w:sz w:val="22"/>
                <w:szCs w:val="24"/>
                <w:lang w:eastAsia="en-GB"/>
              </w:rPr>
              <w:t>3,219</w:t>
            </w:r>
          </w:p>
        </w:tc>
        <w:tc>
          <w:tcPr>
            <w:tcW w:w="1502" w:type="dxa"/>
            <w:tcBorders>
              <w:top w:val="nil"/>
              <w:left w:val="nil"/>
              <w:bottom w:val="single" w:sz="4" w:space="0" w:color="auto"/>
              <w:right w:val="single" w:sz="4" w:space="0" w:color="auto"/>
            </w:tcBorders>
            <w:shd w:val="clear" w:color="000000" w:fill="FFFFFF"/>
            <w:noWrap/>
            <w:vAlign w:val="bottom"/>
            <w:hideMark/>
          </w:tcPr>
          <w:p w14:paraId="47A1FCE1" w14:textId="77777777" w:rsidR="00E338B3" w:rsidRPr="00AC2FFE" w:rsidRDefault="00E338B3" w:rsidP="003418AB">
            <w:pPr>
              <w:ind w:left="851" w:hanging="851"/>
              <w:jc w:val="center"/>
              <w:rPr>
                <w:rFonts w:cs="Arial"/>
                <w:b/>
                <w:bCs/>
                <w:color w:val="000000"/>
                <w:sz w:val="22"/>
                <w:szCs w:val="22"/>
                <w:lang w:eastAsia="en-GB"/>
              </w:rPr>
            </w:pPr>
            <w:r>
              <w:rPr>
                <w:rFonts w:cs="Arial"/>
                <w:b/>
                <w:bCs/>
                <w:color w:val="000000"/>
                <w:sz w:val="22"/>
                <w:szCs w:val="24"/>
                <w:lang w:eastAsia="en-GB"/>
              </w:rPr>
              <w:t>3,440</w:t>
            </w:r>
          </w:p>
        </w:tc>
        <w:tc>
          <w:tcPr>
            <w:tcW w:w="2330" w:type="dxa"/>
            <w:tcBorders>
              <w:top w:val="nil"/>
              <w:left w:val="nil"/>
              <w:bottom w:val="single" w:sz="4" w:space="0" w:color="auto"/>
              <w:right w:val="single" w:sz="4" w:space="0" w:color="auto"/>
            </w:tcBorders>
            <w:shd w:val="clear" w:color="000000" w:fill="FFFFFF"/>
            <w:noWrap/>
            <w:vAlign w:val="bottom"/>
            <w:hideMark/>
          </w:tcPr>
          <w:p w14:paraId="2C6F20E0" w14:textId="4187AE77" w:rsidR="00E338B3" w:rsidRPr="00AC2FFE" w:rsidRDefault="00E338B3" w:rsidP="003418AB">
            <w:pPr>
              <w:ind w:left="851" w:hanging="851"/>
              <w:jc w:val="center"/>
              <w:rPr>
                <w:rFonts w:cs="Arial"/>
                <w:b/>
                <w:bCs/>
                <w:color w:val="000000"/>
                <w:sz w:val="22"/>
                <w:szCs w:val="22"/>
                <w:lang w:eastAsia="en-GB"/>
              </w:rPr>
            </w:pPr>
            <w:r w:rsidRPr="00AC2FFE">
              <w:rPr>
                <w:rFonts w:cs="Arial"/>
                <w:b/>
                <w:bCs/>
                <w:color w:val="000000"/>
                <w:sz w:val="22"/>
                <w:szCs w:val="24"/>
                <w:lang w:eastAsia="en-GB"/>
              </w:rPr>
              <w:t> (</w:t>
            </w:r>
            <w:r w:rsidR="00900E12">
              <w:rPr>
                <w:rFonts w:cs="Arial"/>
                <w:b/>
                <w:bCs/>
                <w:color w:val="000000"/>
                <w:sz w:val="22"/>
                <w:szCs w:val="24"/>
                <w:lang w:eastAsia="en-GB"/>
              </w:rPr>
              <w:t>221</w:t>
            </w:r>
            <w:r w:rsidRPr="00AC2FFE">
              <w:rPr>
                <w:rFonts w:cs="Arial"/>
                <w:b/>
                <w:bCs/>
                <w:color w:val="000000"/>
                <w:sz w:val="22"/>
                <w:szCs w:val="24"/>
                <w:lang w:eastAsia="en-GB"/>
              </w:rPr>
              <w:t>)</w:t>
            </w:r>
          </w:p>
        </w:tc>
      </w:tr>
    </w:tbl>
    <w:p w14:paraId="259D629B" w14:textId="320F53A1" w:rsidR="00270959" w:rsidRPr="00ED4141" w:rsidRDefault="00270959" w:rsidP="00CB1B58">
      <w:pPr>
        <w:pStyle w:val="ListParagraph"/>
        <w:spacing w:after="120"/>
        <w:ind w:left="851" w:hanging="142"/>
        <w:jc w:val="both"/>
        <w:rPr>
          <w:bCs/>
          <w:u w:val="single"/>
          <w:lang w:val="en-US"/>
        </w:rPr>
      </w:pPr>
      <w:r w:rsidRPr="00BB0A57">
        <w:rPr>
          <w:rFonts w:cs="Arial"/>
          <w:b/>
          <w:bCs/>
          <w:szCs w:val="24"/>
          <w:u w:val="single"/>
        </w:rPr>
        <w:t xml:space="preserve">    </w:t>
      </w:r>
    </w:p>
    <w:p w14:paraId="72E25A10" w14:textId="2C6D538E" w:rsidR="0065397E" w:rsidRPr="00EC1E32" w:rsidRDefault="00270959" w:rsidP="00CB1B58">
      <w:pPr>
        <w:pStyle w:val="ListParagraph"/>
        <w:numPr>
          <w:ilvl w:val="1"/>
          <w:numId w:val="64"/>
        </w:numPr>
        <w:spacing w:after="120"/>
        <w:ind w:left="709" w:hanging="709"/>
        <w:jc w:val="both"/>
        <w:rPr>
          <w:rFonts w:cs="Arial"/>
          <w:szCs w:val="24"/>
        </w:rPr>
      </w:pPr>
      <w:r w:rsidRPr="00EC1E32">
        <w:rPr>
          <w:bCs/>
        </w:rPr>
        <w:t xml:space="preserve">At Quarter </w:t>
      </w:r>
      <w:r w:rsidR="00D534E2">
        <w:rPr>
          <w:bCs/>
        </w:rPr>
        <w:t>3</w:t>
      </w:r>
      <w:r w:rsidRPr="00EC1E32">
        <w:rPr>
          <w:bCs/>
        </w:rPr>
        <w:t xml:space="preserve"> the People’s Directorate is forecasting an over spend of £</w:t>
      </w:r>
      <w:r w:rsidR="00900E12">
        <w:rPr>
          <w:bCs/>
        </w:rPr>
        <w:t>3.219</w:t>
      </w:r>
      <w:r w:rsidRPr="00EC1E32">
        <w:rPr>
          <w:bCs/>
        </w:rPr>
        <w:t>m, this forecast includes assumed draw down from reserves of (£</w:t>
      </w:r>
      <w:r w:rsidR="00CB01F5">
        <w:rPr>
          <w:bCs/>
        </w:rPr>
        <w:t>0.</w:t>
      </w:r>
      <w:r w:rsidR="00D534E2">
        <w:rPr>
          <w:bCs/>
        </w:rPr>
        <w:t>822</w:t>
      </w:r>
      <w:r w:rsidR="00CB01F5">
        <w:rPr>
          <w:bCs/>
        </w:rPr>
        <w:t>m</w:t>
      </w:r>
      <w:r w:rsidRPr="00EC1E32">
        <w:rPr>
          <w:bCs/>
        </w:rPr>
        <w:t>) as set out in appendix 3. The directorate’s forecast represents a favourable movement of (£</w:t>
      </w:r>
      <w:r w:rsidR="00900E12">
        <w:rPr>
          <w:bCs/>
        </w:rPr>
        <w:t>0.221</w:t>
      </w:r>
      <w:r w:rsidR="00D534E2">
        <w:rPr>
          <w:bCs/>
        </w:rPr>
        <w:t>m</w:t>
      </w:r>
      <w:r w:rsidRPr="00EC1E32">
        <w:rPr>
          <w:bCs/>
        </w:rPr>
        <w:t>) when compare</w:t>
      </w:r>
      <w:r w:rsidR="009102CE" w:rsidRPr="00EC1E32">
        <w:rPr>
          <w:bCs/>
        </w:rPr>
        <w:t>d</w:t>
      </w:r>
      <w:r w:rsidRPr="00EC1E32">
        <w:rPr>
          <w:bCs/>
        </w:rPr>
        <w:t xml:space="preserve"> with </w:t>
      </w:r>
      <w:r w:rsidR="0091766E">
        <w:rPr>
          <w:bCs/>
        </w:rPr>
        <w:t>Q</w:t>
      </w:r>
      <w:r w:rsidR="00EC1E32" w:rsidRPr="00EC1E32">
        <w:rPr>
          <w:bCs/>
        </w:rPr>
        <w:t>uarter</w:t>
      </w:r>
      <w:r w:rsidRPr="00EC1E32">
        <w:rPr>
          <w:bCs/>
        </w:rPr>
        <w:t xml:space="preserve"> 2</w:t>
      </w:r>
      <w:r w:rsidR="00EC1E32" w:rsidRPr="00EC1E32">
        <w:rPr>
          <w:bCs/>
        </w:rPr>
        <w:t>.</w:t>
      </w:r>
      <w:r w:rsidR="0065397E" w:rsidRPr="00EC1E32">
        <w:rPr>
          <w:rFonts w:cs="Arial"/>
          <w:b/>
          <w:bCs/>
          <w:szCs w:val="24"/>
        </w:rPr>
        <w:t xml:space="preserve">                                                     </w:t>
      </w:r>
      <w:r w:rsidR="0065397E" w:rsidRPr="00EC1E32">
        <w:rPr>
          <w:rFonts w:cs="Arial"/>
          <w:szCs w:val="24"/>
        </w:rPr>
        <w:t xml:space="preserve"> </w:t>
      </w:r>
    </w:p>
    <w:p w14:paraId="12967A8B" w14:textId="77777777" w:rsidR="000579DE" w:rsidRDefault="000579DE" w:rsidP="000A3C5C">
      <w:pPr>
        <w:spacing w:after="120"/>
        <w:ind w:firstLine="709"/>
        <w:jc w:val="both"/>
        <w:rPr>
          <w:b/>
          <w:bCs/>
        </w:rPr>
      </w:pPr>
    </w:p>
    <w:p w14:paraId="486B3E80" w14:textId="07FFE364" w:rsidR="004034F2" w:rsidRPr="00ED4141" w:rsidRDefault="0021608E" w:rsidP="000A3C5C">
      <w:pPr>
        <w:spacing w:after="120"/>
        <w:ind w:firstLine="709"/>
        <w:jc w:val="both"/>
        <w:rPr>
          <w:bCs/>
        </w:rPr>
      </w:pPr>
      <w:r>
        <w:rPr>
          <w:b/>
          <w:bCs/>
        </w:rPr>
        <w:t xml:space="preserve">  </w:t>
      </w:r>
      <w:r w:rsidR="004034F2" w:rsidRPr="00ED4141">
        <w:rPr>
          <w:bCs/>
        </w:rPr>
        <w:t>ADULT SERVICES</w:t>
      </w:r>
    </w:p>
    <w:p w14:paraId="47F8661F" w14:textId="700FCC3E" w:rsidR="00652F66" w:rsidRPr="00AC14C2" w:rsidRDefault="004034F2">
      <w:pPr>
        <w:pStyle w:val="ListParagraph"/>
        <w:numPr>
          <w:ilvl w:val="1"/>
          <w:numId w:val="64"/>
        </w:numPr>
        <w:spacing w:after="120"/>
        <w:ind w:left="709" w:hanging="709"/>
        <w:jc w:val="both"/>
        <w:rPr>
          <w:bCs/>
        </w:rPr>
      </w:pPr>
      <w:r w:rsidRPr="009E5813">
        <w:rPr>
          <w:bCs/>
        </w:rPr>
        <w:t>Adults Services are reporting a</w:t>
      </w:r>
      <w:r w:rsidR="009C50BF" w:rsidRPr="009E5813">
        <w:rPr>
          <w:bCs/>
        </w:rPr>
        <w:t>n overspend of £</w:t>
      </w:r>
      <w:r w:rsidR="00CB01F5">
        <w:rPr>
          <w:bCs/>
        </w:rPr>
        <w:t>0.</w:t>
      </w:r>
      <w:r w:rsidR="009C50BF" w:rsidRPr="009E5813">
        <w:rPr>
          <w:bCs/>
        </w:rPr>
        <w:t>439</w:t>
      </w:r>
      <w:r w:rsidR="00CB01F5">
        <w:rPr>
          <w:bCs/>
        </w:rPr>
        <w:t>m</w:t>
      </w:r>
      <w:r w:rsidR="000B71CE" w:rsidRPr="009E5813">
        <w:rPr>
          <w:bCs/>
        </w:rPr>
        <w:t xml:space="preserve"> (an overspend of £4.9m before identified mitigation including use of the A</w:t>
      </w:r>
      <w:r w:rsidR="009F66BE">
        <w:rPr>
          <w:bCs/>
        </w:rPr>
        <w:t>dult Social Care</w:t>
      </w:r>
      <w:r w:rsidR="000B71CE" w:rsidRPr="009E5813">
        <w:rPr>
          <w:bCs/>
        </w:rPr>
        <w:t xml:space="preserve"> grant)</w:t>
      </w:r>
      <w:r w:rsidR="00905E10">
        <w:rPr>
          <w:bCs/>
        </w:rPr>
        <w:t xml:space="preserve"> which is in line with the Quarter 2 forecast.</w:t>
      </w:r>
      <w:r w:rsidR="0085694C">
        <w:rPr>
          <w:bCs/>
        </w:rPr>
        <w:t xml:space="preserve"> The headline pressure within Adult services is detailed as follows:</w:t>
      </w:r>
    </w:p>
    <w:p w14:paraId="2CEAE105" w14:textId="2C5F6406" w:rsidR="00652F66" w:rsidRPr="00270959" w:rsidRDefault="00652F66" w:rsidP="000A2CF3">
      <w:pPr>
        <w:pStyle w:val="ListParagraph"/>
        <w:numPr>
          <w:ilvl w:val="0"/>
          <w:numId w:val="153"/>
        </w:numPr>
        <w:spacing w:after="120"/>
        <w:jc w:val="both"/>
        <w:rPr>
          <w:bCs/>
        </w:rPr>
      </w:pPr>
      <w:r w:rsidRPr="00652F66">
        <w:rPr>
          <w:bCs/>
        </w:rPr>
        <w:t>The forecast outturn position indicates continuing pressures (over and above the allocation of the £4.6m MTFS growth which mitigated underlying pressures brought forward from 2016/17) and relate</w:t>
      </w:r>
      <w:r w:rsidR="00A26B94">
        <w:rPr>
          <w:bCs/>
        </w:rPr>
        <w:t>s</w:t>
      </w:r>
      <w:r w:rsidRPr="00652F66">
        <w:rPr>
          <w:bCs/>
        </w:rPr>
        <w:t xml:space="preserve"> largely to increasing purchasing pressures (including the all age disability service) and delivery of MTFS savings</w:t>
      </w:r>
      <w:r w:rsidR="00A26B94">
        <w:rPr>
          <w:bCs/>
        </w:rPr>
        <w:t>.</w:t>
      </w:r>
      <w:r w:rsidRPr="00652F66">
        <w:rPr>
          <w:bCs/>
        </w:rPr>
        <w:t xml:space="preserve"> </w:t>
      </w:r>
      <w:r w:rsidR="00A26B94">
        <w:rPr>
          <w:bCs/>
        </w:rPr>
        <w:t>H</w:t>
      </w:r>
      <w:r w:rsidRPr="00652F66">
        <w:rPr>
          <w:bCs/>
        </w:rPr>
        <w:t xml:space="preserve">owever these are expected to be </w:t>
      </w:r>
      <w:r w:rsidR="006F5766">
        <w:rPr>
          <w:bCs/>
        </w:rPr>
        <w:t xml:space="preserve">partially </w:t>
      </w:r>
      <w:r w:rsidRPr="00652F66">
        <w:rPr>
          <w:bCs/>
        </w:rPr>
        <w:t>mitigated by action plans and use of the ASC grant as detailed above</w:t>
      </w:r>
      <w:r>
        <w:rPr>
          <w:bCs/>
        </w:rPr>
        <w:t>.</w:t>
      </w:r>
    </w:p>
    <w:p w14:paraId="1D91AEFE" w14:textId="08C1591E" w:rsidR="006C3281" w:rsidRPr="00052558" w:rsidRDefault="00E653B5" w:rsidP="000A2CF3">
      <w:pPr>
        <w:pStyle w:val="ListParagraph"/>
        <w:numPr>
          <w:ilvl w:val="0"/>
          <w:numId w:val="153"/>
        </w:numPr>
        <w:spacing w:after="120"/>
        <w:jc w:val="both"/>
        <w:rPr>
          <w:bCs/>
        </w:rPr>
      </w:pPr>
      <w:r w:rsidRPr="00052558">
        <w:rPr>
          <w:bCs/>
        </w:rPr>
        <w:t xml:space="preserve">Whilst the service received MTFS growth, together with the announcement of the </w:t>
      </w:r>
      <w:r w:rsidR="0085694C">
        <w:rPr>
          <w:bCs/>
        </w:rPr>
        <w:t>I</w:t>
      </w:r>
      <w:r w:rsidRPr="00052558">
        <w:rPr>
          <w:bCs/>
        </w:rPr>
        <w:t>mproved B</w:t>
      </w:r>
      <w:r w:rsidR="006C3281" w:rsidRPr="00052558">
        <w:rPr>
          <w:bCs/>
        </w:rPr>
        <w:t xml:space="preserve">etter </w:t>
      </w:r>
      <w:r w:rsidRPr="00052558">
        <w:rPr>
          <w:bCs/>
        </w:rPr>
        <w:t>C</w:t>
      </w:r>
      <w:r w:rsidR="006C3281" w:rsidRPr="00052558">
        <w:rPr>
          <w:bCs/>
        </w:rPr>
        <w:t xml:space="preserve">are </w:t>
      </w:r>
      <w:r w:rsidRPr="00052558">
        <w:rPr>
          <w:bCs/>
        </w:rPr>
        <w:t>F</w:t>
      </w:r>
      <w:r w:rsidR="006C3281" w:rsidRPr="00052558">
        <w:rPr>
          <w:bCs/>
        </w:rPr>
        <w:t>und</w:t>
      </w:r>
      <w:r w:rsidRPr="00052558">
        <w:rPr>
          <w:bCs/>
        </w:rPr>
        <w:t xml:space="preserve"> funding, th</w:t>
      </w:r>
      <w:r w:rsidR="00C00C34">
        <w:rPr>
          <w:bCs/>
        </w:rPr>
        <w:t>e</w:t>
      </w:r>
      <w:r w:rsidRPr="00052558">
        <w:rPr>
          <w:bCs/>
        </w:rPr>
        <w:t xml:space="preserve"> front line demand led service</w:t>
      </w:r>
      <w:r w:rsidR="00A26B94">
        <w:rPr>
          <w:bCs/>
        </w:rPr>
        <w:t>s</w:t>
      </w:r>
      <w:r w:rsidRPr="00052558">
        <w:rPr>
          <w:bCs/>
        </w:rPr>
        <w:t xml:space="preserve"> continue to face cost pressures in relation to the provision of services, arising largely from increasing complexities and also the interface with health.</w:t>
      </w:r>
    </w:p>
    <w:p w14:paraId="07940ABC" w14:textId="291B489B" w:rsidR="00052558" w:rsidRPr="00610DAE" w:rsidRDefault="00610DAE" w:rsidP="000A2CF3">
      <w:pPr>
        <w:pStyle w:val="ListParagraph"/>
        <w:numPr>
          <w:ilvl w:val="0"/>
          <w:numId w:val="153"/>
        </w:numPr>
        <w:spacing w:after="120"/>
        <w:jc w:val="both"/>
        <w:rPr>
          <w:bCs/>
        </w:rPr>
      </w:pPr>
      <w:r w:rsidRPr="00610DAE">
        <w:rPr>
          <w:bCs/>
        </w:rPr>
        <w:t>Within Adult Social Care, purchasing pressures forecast an underlying overspend of £2.9m (including costs associated with Children and Young Adults with Disabilities), together with an overspend of £</w:t>
      </w:r>
      <w:r w:rsidR="00CB01F5">
        <w:rPr>
          <w:bCs/>
        </w:rPr>
        <w:t>0.</w:t>
      </w:r>
      <w:r w:rsidRPr="00610DAE">
        <w:rPr>
          <w:bCs/>
        </w:rPr>
        <w:t>345</w:t>
      </w:r>
      <w:r w:rsidR="00CB01F5">
        <w:rPr>
          <w:bCs/>
        </w:rPr>
        <w:t>m</w:t>
      </w:r>
      <w:r w:rsidRPr="00610DAE">
        <w:rPr>
          <w:bCs/>
        </w:rPr>
        <w:t xml:space="preserve"> in relation to Mental Health services managed by </w:t>
      </w:r>
      <w:r w:rsidRPr="00114F83">
        <w:rPr>
          <w:bCs/>
        </w:rPr>
        <w:t>C</w:t>
      </w:r>
      <w:r w:rsidR="00B8664A" w:rsidRPr="000A2CF3">
        <w:rPr>
          <w:bCs/>
        </w:rPr>
        <w:t xml:space="preserve">entral and </w:t>
      </w:r>
      <w:r w:rsidRPr="00114F83">
        <w:rPr>
          <w:bCs/>
        </w:rPr>
        <w:t>N</w:t>
      </w:r>
      <w:r w:rsidR="00B8664A" w:rsidRPr="000A2CF3">
        <w:rPr>
          <w:bCs/>
        </w:rPr>
        <w:t xml:space="preserve">orth </w:t>
      </w:r>
      <w:r w:rsidRPr="00114F83">
        <w:rPr>
          <w:bCs/>
        </w:rPr>
        <w:t>W</w:t>
      </w:r>
      <w:r w:rsidR="00B8664A" w:rsidRPr="000A2CF3">
        <w:rPr>
          <w:bCs/>
        </w:rPr>
        <w:t xml:space="preserve">est </w:t>
      </w:r>
      <w:r w:rsidRPr="00114F83">
        <w:rPr>
          <w:bCs/>
        </w:rPr>
        <w:t>L</w:t>
      </w:r>
      <w:r w:rsidR="00B8664A" w:rsidRPr="00114F83">
        <w:rPr>
          <w:bCs/>
        </w:rPr>
        <w:t>ondon</w:t>
      </w:r>
      <w:r w:rsidR="00B8664A">
        <w:rPr>
          <w:bCs/>
        </w:rPr>
        <w:t xml:space="preserve"> (CNWL)</w:t>
      </w:r>
      <w:r w:rsidRPr="00610DAE">
        <w:rPr>
          <w:bCs/>
        </w:rPr>
        <w:t xml:space="preserve"> under s75 arrangements.  These pressure</w:t>
      </w:r>
      <w:r w:rsidR="006F5766">
        <w:rPr>
          <w:bCs/>
        </w:rPr>
        <w:t>s</w:t>
      </w:r>
      <w:r w:rsidRPr="00610DAE">
        <w:rPr>
          <w:bCs/>
        </w:rPr>
        <w:t xml:space="preserve"> continue to reflect </w:t>
      </w:r>
      <w:r w:rsidRPr="00610DAE">
        <w:rPr>
          <w:bCs/>
        </w:rPr>
        <w:lastRenderedPageBreak/>
        <w:t>increasing complexities and increases in the discharges from hospital into adult social care.</w:t>
      </w:r>
    </w:p>
    <w:p w14:paraId="4A88D921" w14:textId="203367CC" w:rsidR="004034F2" w:rsidRPr="00052558" w:rsidRDefault="00610DAE" w:rsidP="000A2CF3">
      <w:pPr>
        <w:pStyle w:val="ListParagraph"/>
        <w:numPr>
          <w:ilvl w:val="0"/>
          <w:numId w:val="153"/>
        </w:numPr>
        <w:spacing w:after="120"/>
        <w:jc w:val="both"/>
        <w:rPr>
          <w:bCs/>
        </w:rPr>
      </w:pPr>
      <w:r w:rsidRPr="00610DAE">
        <w:rPr>
          <w:bCs/>
        </w:rPr>
        <w:t>The Better Care Fund (BCF) has been agreed for 2017/18, with the funding in relation to t</w:t>
      </w:r>
      <w:r w:rsidR="0085694C">
        <w:rPr>
          <w:bCs/>
        </w:rPr>
        <w:t xml:space="preserve">he protection of social care (a </w:t>
      </w:r>
      <w:r w:rsidRPr="00610DAE">
        <w:rPr>
          <w:bCs/>
        </w:rPr>
        <w:t>B</w:t>
      </w:r>
      <w:r w:rsidR="0085694C">
        <w:rPr>
          <w:bCs/>
        </w:rPr>
        <w:t>CF</w:t>
      </w:r>
      <w:r w:rsidRPr="00610DAE">
        <w:rPr>
          <w:bCs/>
        </w:rPr>
        <w:t xml:space="preserve"> condition) reduced from the budgeted figure of £6.558m down to £6.106m by the Clinical Commission Group.  This reduction has been mitigated by the A</w:t>
      </w:r>
      <w:r w:rsidR="00585C17">
        <w:rPr>
          <w:bCs/>
        </w:rPr>
        <w:t xml:space="preserve">dult </w:t>
      </w:r>
      <w:r w:rsidRPr="00610DAE">
        <w:rPr>
          <w:bCs/>
        </w:rPr>
        <w:t>S</w:t>
      </w:r>
      <w:r w:rsidR="00585C17">
        <w:rPr>
          <w:bCs/>
        </w:rPr>
        <w:t xml:space="preserve">ocial </w:t>
      </w:r>
      <w:r w:rsidRPr="00610DAE">
        <w:rPr>
          <w:bCs/>
        </w:rPr>
        <w:t>C</w:t>
      </w:r>
      <w:r w:rsidR="00585C17">
        <w:rPr>
          <w:bCs/>
        </w:rPr>
        <w:t>are</w:t>
      </w:r>
      <w:r w:rsidR="00824C7D">
        <w:rPr>
          <w:bCs/>
        </w:rPr>
        <w:t xml:space="preserve"> (ASC)</w:t>
      </w:r>
      <w:r w:rsidRPr="00610DAE">
        <w:rPr>
          <w:bCs/>
        </w:rPr>
        <w:t xml:space="preserve"> grant.</w:t>
      </w:r>
    </w:p>
    <w:p w14:paraId="52BDA68C" w14:textId="77777777" w:rsidR="00061DF9" w:rsidRPr="00BB0A57" w:rsidRDefault="00061DF9" w:rsidP="00061DF9">
      <w:pPr>
        <w:ind w:left="1440"/>
        <w:jc w:val="both"/>
        <w:rPr>
          <w:bCs/>
          <w:highlight w:val="yellow"/>
        </w:rPr>
      </w:pPr>
    </w:p>
    <w:p w14:paraId="3DE8165E" w14:textId="6DE5CF24" w:rsidR="004034F2" w:rsidRDefault="009661BF" w:rsidP="000A2CF3">
      <w:pPr>
        <w:pStyle w:val="ListParagraph"/>
        <w:numPr>
          <w:ilvl w:val="0"/>
          <w:numId w:val="153"/>
        </w:numPr>
        <w:spacing w:after="120"/>
        <w:jc w:val="both"/>
        <w:rPr>
          <w:bCs/>
        </w:rPr>
      </w:pPr>
      <w:r w:rsidRPr="000F3096">
        <w:rPr>
          <w:bCs/>
        </w:rPr>
        <w:t>Within internally provided services there are underlying pressures in the region of £1.</w:t>
      </w:r>
      <w:r w:rsidR="00610DAE" w:rsidRPr="00A45F6E">
        <w:rPr>
          <w:bCs/>
        </w:rPr>
        <w:t>025</w:t>
      </w:r>
      <w:r w:rsidRPr="00A45F6E">
        <w:rPr>
          <w:bCs/>
        </w:rPr>
        <w:t>m.  These pressures arise from d</w:t>
      </w:r>
      <w:r w:rsidR="004034F2" w:rsidRPr="00B41ECB">
        <w:rPr>
          <w:bCs/>
        </w:rPr>
        <w:t xml:space="preserve">elays </w:t>
      </w:r>
      <w:r w:rsidR="00E653B5" w:rsidRPr="00B41ECB">
        <w:rPr>
          <w:bCs/>
        </w:rPr>
        <w:t xml:space="preserve">(including those associated with planning and </w:t>
      </w:r>
      <w:r w:rsidR="00A7379D" w:rsidRPr="00E528A2">
        <w:rPr>
          <w:bCs/>
        </w:rPr>
        <w:t>building</w:t>
      </w:r>
      <w:r w:rsidR="00E653B5" w:rsidRPr="00E528A2">
        <w:rPr>
          <w:bCs/>
        </w:rPr>
        <w:t xml:space="preserve"> related issues) </w:t>
      </w:r>
      <w:r w:rsidR="004034F2" w:rsidRPr="00E528A2">
        <w:rPr>
          <w:bCs/>
        </w:rPr>
        <w:t>associ</w:t>
      </w:r>
      <w:r w:rsidR="004034F2" w:rsidRPr="00BD3BBF">
        <w:rPr>
          <w:bCs/>
        </w:rPr>
        <w:t>ated with the achievement of MTFS savings</w:t>
      </w:r>
      <w:r w:rsidRPr="00D621A6">
        <w:rPr>
          <w:bCs/>
        </w:rPr>
        <w:t>,</w:t>
      </w:r>
      <w:r w:rsidR="0085694C">
        <w:rPr>
          <w:bCs/>
        </w:rPr>
        <w:t xml:space="preserve"> </w:t>
      </w:r>
      <w:r w:rsidR="004034F2" w:rsidRPr="00CC2689">
        <w:rPr>
          <w:bCs/>
        </w:rPr>
        <w:t>including £0.</w:t>
      </w:r>
      <w:r w:rsidR="00C649DF" w:rsidRPr="001912B3">
        <w:rPr>
          <w:bCs/>
        </w:rPr>
        <w:t>9</w:t>
      </w:r>
      <w:r w:rsidR="00CB01F5">
        <w:rPr>
          <w:bCs/>
        </w:rPr>
        <w:t>00</w:t>
      </w:r>
      <w:r w:rsidR="004034F2" w:rsidRPr="00E222D0">
        <w:rPr>
          <w:bCs/>
        </w:rPr>
        <w:t>m in relation to the Sancroft Phoenix project</w:t>
      </w:r>
      <w:r w:rsidRPr="00072265">
        <w:rPr>
          <w:bCs/>
        </w:rPr>
        <w:t xml:space="preserve">.  </w:t>
      </w:r>
      <w:r w:rsidR="004034F2" w:rsidRPr="00F71A10">
        <w:rPr>
          <w:bCs/>
        </w:rPr>
        <w:t xml:space="preserve"> These pressures are </w:t>
      </w:r>
      <w:r w:rsidR="00E653B5" w:rsidRPr="00C50502">
        <w:rPr>
          <w:bCs/>
        </w:rPr>
        <w:t xml:space="preserve">expected to be </w:t>
      </w:r>
      <w:r w:rsidRPr="00C50502">
        <w:rPr>
          <w:bCs/>
        </w:rPr>
        <w:t xml:space="preserve">partially </w:t>
      </w:r>
      <w:r w:rsidR="00E653B5" w:rsidRPr="000F3096">
        <w:rPr>
          <w:bCs/>
        </w:rPr>
        <w:t>mitigated.</w:t>
      </w:r>
    </w:p>
    <w:p w14:paraId="440363C8" w14:textId="4FB37366" w:rsidR="00084B02" w:rsidRPr="000F3096" w:rsidRDefault="00084B02" w:rsidP="000A2CF3">
      <w:pPr>
        <w:pStyle w:val="ListParagraph"/>
        <w:numPr>
          <w:ilvl w:val="0"/>
          <w:numId w:val="153"/>
        </w:numPr>
        <w:spacing w:after="120"/>
        <w:jc w:val="both"/>
        <w:rPr>
          <w:bCs/>
        </w:rPr>
      </w:pPr>
      <w:r w:rsidRPr="00084B02">
        <w:rPr>
          <w:bCs/>
        </w:rPr>
        <w:t xml:space="preserve">The ASC grant of £3.6m is fully committed and will mitigate purchasing pressures (including funding the agreed inflationary uplift), shortfall in delivering the MTFS savings in relation to Sancroft and the reduced contribution from health in relation to the protection of social care within the Better Care Fund.  </w:t>
      </w:r>
    </w:p>
    <w:p w14:paraId="4AA56887" w14:textId="77777777" w:rsidR="00117ECE" w:rsidRDefault="00117ECE" w:rsidP="00BB0A57">
      <w:pPr>
        <w:pStyle w:val="ListParagraph"/>
        <w:suppressAutoHyphens/>
        <w:ind w:left="405" w:firstLine="304"/>
      </w:pPr>
    </w:p>
    <w:p w14:paraId="349F5032" w14:textId="77777777" w:rsidR="00F37451" w:rsidRDefault="00F37451" w:rsidP="00BB0A57">
      <w:pPr>
        <w:pStyle w:val="ListParagraph"/>
        <w:suppressAutoHyphens/>
        <w:ind w:left="405" w:firstLine="304"/>
      </w:pPr>
      <w:r w:rsidRPr="00ED4141">
        <w:t xml:space="preserve">PUBLIC HEALTH </w:t>
      </w:r>
    </w:p>
    <w:p w14:paraId="322D6C20" w14:textId="77777777" w:rsidR="00117ECE" w:rsidRPr="00ED4141" w:rsidRDefault="00117ECE" w:rsidP="00BB0A57">
      <w:pPr>
        <w:pStyle w:val="ListParagraph"/>
        <w:suppressAutoHyphens/>
        <w:ind w:left="405" w:firstLine="304"/>
      </w:pPr>
    </w:p>
    <w:p w14:paraId="147187F0" w14:textId="77777777" w:rsidR="00900E12" w:rsidRPr="000A3C5C" w:rsidRDefault="00900E12" w:rsidP="000A2CF3">
      <w:pPr>
        <w:pStyle w:val="ListParagraph"/>
        <w:numPr>
          <w:ilvl w:val="1"/>
          <w:numId w:val="64"/>
        </w:numPr>
        <w:suppressAutoHyphens/>
        <w:spacing w:after="120"/>
        <w:ind w:left="709" w:hanging="709"/>
        <w:jc w:val="both"/>
        <w:rPr>
          <w:u w:val="single"/>
        </w:rPr>
      </w:pPr>
      <w:r w:rsidRPr="00900E12">
        <w:t>Overall the 2017/18 forecast outturn position for Public Health is a balanced budget, after the one-off contribution towards the Spending Control Freeze.  This balanced position assumes that the statutory provision in relation to demand led sexual health services will be within budget.  The new 5 year integrated contract with London North West Hospitals Trust (LNWHT) commenced on 1st August 2017.  As a result activity is now charged based on the type of services provided (rather than a price for a first or follow up attendance) and data is awaited in relation to this activity to enable trends to be established and a robust forecast provided</w:t>
      </w:r>
      <w:r>
        <w:t>.</w:t>
      </w:r>
    </w:p>
    <w:p w14:paraId="59DAE182" w14:textId="77777777" w:rsidR="006C3281" w:rsidRPr="00ED4141" w:rsidRDefault="006C3281" w:rsidP="002C66C9">
      <w:pPr>
        <w:pStyle w:val="ListParagraph"/>
        <w:ind w:left="624"/>
        <w:rPr>
          <w:bCs/>
        </w:rPr>
      </w:pPr>
    </w:p>
    <w:p w14:paraId="607C8CC6" w14:textId="0AABC186" w:rsidR="004034F2" w:rsidRDefault="00C97D07" w:rsidP="00CB1B58">
      <w:pPr>
        <w:ind w:firstLine="709"/>
        <w:jc w:val="both"/>
        <w:rPr>
          <w:bCs/>
        </w:rPr>
      </w:pPr>
      <w:r>
        <w:rPr>
          <w:bCs/>
        </w:rPr>
        <w:t>CHILDREN</w:t>
      </w:r>
      <w:r w:rsidR="00EC6F66">
        <w:rPr>
          <w:bCs/>
        </w:rPr>
        <w:t>’S SERVICES</w:t>
      </w:r>
    </w:p>
    <w:p w14:paraId="4D1DAEC9" w14:textId="77777777" w:rsidR="00E222D0" w:rsidRDefault="00E222D0" w:rsidP="00CB1B58">
      <w:pPr>
        <w:ind w:firstLine="709"/>
        <w:jc w:val="both"/>
        <w:rPr>
          <w:bCs/>
        </w:rPr>
      </w:pPr>
    </w:p>
    <w:p w14:paraId="2A0FFC30" w14:textId="61FD9144" w:rsidR="00E222D0" w:rsidRPr="000A3C5C" w:rsidRDefault="00E222D0" w:rsidP="00CB1B58">
      <w:pPr>
        <w:ind w:firstLine="709"/>
        <w:jc w:val="both"/>
        <w:rPr>
          <w:b/>
          <w:bCs/>
          <w:u w:val="single"/>
        </w:rPr>
      </w:pPr>
      <w:r w:rsidRPr="000A3C5C">
        <w:rPr>
          <w:b/>
          <w:bCs/>
          <w:u w:val="single"/>
        </w:rPr>
        <w:t xml:space="preserve">Table </w:t>
      </w:r>
      <w:r w:rsidR="00012D08" w:rsidRPr="000A3C5C">
        <w:rPr>
          <w:b/>
          <w:bCs/>
          <w:u w:val="single"/>
        </w:rPr>
        <w:t>5</w:t>
      </w:r>
      <w:r w:rsidRPr="000A3C5C">
        <w:rPr>
          <w:b/>
          <w:bCs/>
          <w:u w:val="single"/>
        </w:rPr>
        <w:t>: Children’s Variance</w:t>
      </w:r>
    </w:p>
    <w:tbl>
      <w:tblPr>
        <w:tblStyle w:val="TableGrid"/>
        <w:tblW w:w="0" w:type="auto"/>
        <w:tblInd w:w="817" w:type="dxa"/>
        <w:tblLook w:val="04A0" w:firstRow="1" w:lastRow="0" w:firstColumn="1" w:lastColumn="0" w:noHBand="0" w:noVBand="1"/>
      </w:tblPr>
      <w:tblGrid>
        <w:gridCol w:w="1701"/>
        <w:gridCol w:w="1418"/>
        <w:gridCol w:w="2126"/>
      </w:tblGrid>
      <w:tr w:rsidR="00E222D0" w14:paraId="04A48E04" w14:textId="77777777" w:rsidTr="000A2CF3">
        <w:tc>
          <w:tcPr>
            <w:tcW w:w="1701" w:type="dxa"/>
          </w:tcPr>
          <w:p w14:paraId="39BC135B" w14:textId="0AB67306" w:rsidR="00E222D0" w:rsidRDefault="00E222D0" w:rsidP="00D30E09">
            <w:pPr>
              <w:rPr>
                <w:bCs/>
              </w:rPr>
            </w:pPr>
            <w:r>
              <w:rPr>
                <w:bCs/>
              </w:rPr>
              <w:t>Quarter 3 Variance</w:t>
            </w:r>
          </w:p>
        </w:tc>
        <w:tc>
          <w:tcPr>
            <w:tcW w:w="1418" w:type="dxa"/>
          </w:tcPr>
          <w:p w14:paraId="7F3F5103" w14:textId="1467642E" w:rsidR="00E222D0" w:rsidRDefault="00E222D0" w:rsidP="00D30E09">
            <w:pPr>
              <w:rPr>
                <w:bCs/>
              </w:rPr>
            </w:pPr>
            <w:r>
              <w:rPr>
                <w:bCs/>
              </w:rPr>
              <w:t>Quarter 2 Variance</w:t>
            </w:r>
          </w:p>
        </w:tc>
        <w:tc>
          <w:tcPr>
            <w:tcW w:w="2126" w:type="dxa"/>
          </w:tcPr>
          <w:p w14:paraId="3B13E0D1" w14:textId="2530186A" w:rsidR="00E222D0" w:rsidRDefault="00E222D0" w:rsidP="00D30E09">
            <w:pPr>
              <w:rPr>
                <w:bCs/>
              </w:rPr>
            </w:pPr>
            <w:r>
              <w:rPr>
                <w:bCs/>
              </w:rPr>
              <w:t>Movement between Quarter 3 and Quarter2</w:t>
            </w:r>
          </w:p>
        </w:tc>
      </w:tr>
      <w:tr w:rsidR="00E222D0" w14:paraId="203F82C9" w14:textId="77777777" w:rsidTr="000A2CF3">
        <w:tc>
          <w:tcPr>
            <w:tcW w:w="1701" w:type="dxa"/>
          </w:tcPr>
          <w:p w14:paraId="37E8EBFF" w14:textId="5C6AF295" w:rsidR="00E222D0" w:rsidRDefault="00E222D0" w:rsidP="00D30E09">
            <w:pPr>
              <w:rPr>
                <w:bCs/>
              </w:rPr>
            </w:pPr>
            <w:r>
              <w:rPr>
                <w:bCs/>
              </w:rPr>
              <w:t>£’000</w:t>
            </w:r>
          </w:p>
        </w:tc>
        <w:tc>
          <w:tcPr>
            <w:tcW w:w="1418" w:type="dxa"/>
          </w:tcPr>
          <w:p w14:paraId="7DB2667B" w14:textId="701D7858" w:rsidR="00E222D0" w:rsidRDefault="00E222D0" w:rsidP="00D30E09">
            <w:pPr>
              <w:rPr>
                <w:bCs/>
              </w:rPr>
            </w:pPr>
            <w:r>
              <w:rPr>
                <w:bCs/>
              </w:rPr>
              <w:t>£’000</w:t>
            </w:r>
          </w:p>
        </w:tc>
        <w:tc>
          <w:tcPr>
            <w:tcW w:w="2126" w:type="dxa"/>
          </w:tcPr>
          <w:p w14:paraId="40127C83" w14:textId="6BE006A5" w:rsidR="00E222D0" w:rsidRDefault="00E222D0" w:rsidP="00D30E09">
            <w:pPr>
              <w:rPr>
                <w:bCs/>
              </w:rPr>
            </w:pPr>
            <w:r>
              <w:rPr>
                <w:bCs/>
              </w:rPr>
              <w:t>£’000</w:t>
            </w:r>
          </w:p>
        </w:tc>
      </w:tr>
      <w:tr w:rsidR="00E222D0" w14:paraId="040FC0F5" w14:textId="77777777" w:rsidTr="000A2CF3">
        <w:tc>
          <w:tcPr>
            <w:tcW w:w="1701" w:type="dxa"/>
          </w:tcPr>
          <w:p w14:paraId="288ED10E" w14:textId="0C6BC6E1" w:rsidR="00E222D0" w:rsidRDefault="00E222D0" w:rsidP="00D30E09">
            <w:pPr>
              <w:rPr>
                <w:bCs/>
              </w:rPr>
            </w:pPr>
            <w:r>
              <w:rPr>
                <w:bCs/>
              </w:rPr>
              <w:t>2,780</w:t>
            </w:r>
          </w:p>
        </w:tc>
        <w:tc>
          <w:tcPr>
            <w:tcW w:w="1418" w:type="dxa"/>
          </w:tcPr>
          <w:p w14:paraId="09F6BF09" w14:textId="1DB95E9C" w:rsidR="00E222D0" w:rsidRDefault="00E222D0" w:rsidP="00D30E09">
            <w:pPr>
              <w:rPr>
                <w:bCs/>
              </w:rPr>
            </w:pPr>
            <w:r>
              <w:rPr>
                <w:bCs/>
              </w:rPr>
              <w:t>3,001</w:t>
            </w:r>
          </w:p>
        </w:tc>
        <w:tc>
          <w:tcPr>
            <w:tcW w:w="2126" w:type="dxa"/>
          </w:tcPr>
          <w:p w14:paraId="5A0B718B" w14:textId="6B6F5B57" w:rsidR="00E222D0" w:rsidRDefault="00E222D0" w:rsidP="00D30E09">
            <w:pPr>
              <w:rPr>
                <w:bCs/>
              </w:rPr>
            </w:pPr>
            <w:r>
              <w:rPr>
                <w:bCs/>
              </w:rPr>
              <w:t>(221)</w:t>
            </w:r>
          </w:p>
        </w:tc>
      </w:tr>
    </w:tbl>
    <w:p w14:paraId="1D587D84" w14:textId="482FF3C3" w:rsidR="004034F2" w:rsidRPr="004034F2" w:rsidRDefault="004034F2" w:rsidP="00D30E09">
      <w:pPr>
        <w:ind w:left="284" w:firstLine="851"/>
        <w:rPr>
          <w:bCs/>
        </w:rPr>
      </w:pPr>
      <w:r w:rsidRPr="004034F2">
        <w:rPr>
          <w:bCs/>
        </w:rPr>
        <w:t xml:space="preserve"> </w:t>
      </w:r>
    </w:p>
    <w:p w14:paraId="17764F04" w14:textId="41AD59EC" w:rsidR="00A66B94" w:rsidRDefault="00F034E1" w:rsidP="000A3C5C">
      <w:pPr>
        <w:ind w:left="709" w:hanging="709"/>
        <w:jc w:val="both"/>
        <w:rPr>
          <w:rFonts w:cs="Arial"/>
          <w:b/>
          <w:szCs w:val="24"/>
        </w:rPr>
      </w:pPr>
      <w:r>
        <w:rPr>
          <w:bCs/>
        </w:rPr>
        <w:t>2.</w:t>
      </w:r>
      <w:r w:rsidR="00A343B2">
        <w:rPr>
          <w:bCs/>
        </w:rPr>
        <w:t>10</w:t>
      </w:r>
      <w:r>
        <w:rPr>
          <w:bCs/>
        </w:rPr>
        <w:tab/>
      </w:r>
      <w:r w:rsidR="004C5118" w:rsidRPr="0035406A">
        <w:rPr>
          <w:bCs/>
        </w:rPr>
        <w:t>As at Qua</w:t>
      </w:r>
      <w:r w:rsidR="00933D6D" w:rsidRPr="005D6E31">
        <w:rPr>
          <w:bCs/>
        </w:rPr>
        <w:t xml:space="preserve">rter </w:t>
      </w:r>
      <w:r w:rsidR="009E5813" w:rsidRPr="008048E1">
        <w:rPr>
          <w:bCs/>
        </w:rPr>
        <w:t>3</w:t>
      </w:r>
      <w:r w:rsidR="004C5118" w:rsidRPr="007502EB">
        <w:rPr>
          <w:bCs/>
        </w:rPr>
        <w:t xml:space="preserve"> the headline pressure for the di</w:t>
      </w:r>
      <w:r w:rsidR="00A26B94" w:rsidRPr="00FB7B2D">
        <w:rPr>
          <w:bCs/>
        </w:rPr>
        <w:t>vision</w:t>
      </w:r>
      <w:r w:rsidR="004C5118" w:rsidRPr="00E176B7">
        <w:rPr>
          <w:bCs/>
        </w:rPr>
        <w:t xml:space="preserve"> is £</w:t>
      </w:r>
      <w:r w:rsidR="0091766E" w:rsidRPr="003F63C5">
        <w:rPr>
          <w:bCs/>
        </w:rPr>
        <w:t>3.</w:t>
      </w:r>
      <w:r w:rsidR="009E5813" w:rsidRPr="000A2CF3">
        <w:rPr>
          <w:bCs/>
        </w:rPr>
        <w:t>676</w:t>
      </w:r>
      <w:r w:rsidR="004C5118" w:rsidRPr="000A2CF3">
        <w:rPr>
          <w:bCs/>
        </w:rPr>
        <w:t>m which reduces to a net forecast overspend of £</w:t>
      </w:r>
      <w:r w:rsidR="009E5813" w:rsidRPr="000A2CF3">
        <w:rPr>
          <w:bCs/>
        </w:rPr>
        <w:t>2.780</w:t>
      </w:r>
      <w:r w:rsidR="004C5118" w:rsidRPr="000A2CF3">
        <w:rPr>
          <w:bCs/>
        </w:rPr>
        <w:t xml:space="preserve">m after the use of one off management actions totalling </w:t>
      </w:r>
      <w:r w:rsidR="00F44178" w:rsidRPr="000A2CF3">
        <w:rPr>
          <w:bCs/>
        </w:rPr>
        <w:t>(</w:t>
      </w:r>
      <w:r w:rsidR="004C5118" w:rsidRPr="000A2CF3">
        <w:rPr>
          <w:bCs/>
        </w:rPr>
        <w:t>£0.</w:t>
      </w:r>
      <w:r w:rsidR="009103FC" w:rsidRPr="000A2CF3">
        <w:rPr>
          <w:bCs/>
        </w:rPr>
        <w:t>529</w:t>
      </w:r>
      <w:r w:rsidR="004C5118" w:rsidRPr="000A2CF3">
        <w:rPr>
          <w:bCs/>
        </w:rPr>
        <w:t>m</w:t>
      </w:r>
      <w:r w:rsidR="00F44178" w:rsidRPr="000A2CF3">
        <w:rPr>
          <w:bCs/>
        </w:rPr>
        <w:t>)</w:t>
      </w:r>
      <w:r w:rsidR="0091766E" w:rsidRPr="000A2CF3">
        <w:rPr>
          <w:bCs/>
        </w:rPr>
        <w:t xml:space="preserve"> and draw down from reserve for redundancy cost</w:t>
      </w:r>
      <w:r w:rsidR="0014629D">
        <w:rPr>
          <w:bCs/>
        </w:rPr>
        <w:t>s</w:t>
      </w:r>
      <w:r w:rsidR="0091766E" w:rsidRPr="000A2CF3">
        <w:rPr>
          <w:bCs/>
        </w:rPr>
        <w:t xml:space="preserve"> of (£0.3</w:t>
      </w:r>
      <w:r w:rsidR="009E5813" w:rsidRPr="000A2CF3">
        <w:rPr>
          <w:bCs/>
        </w:rPr>
        <w:t>67</w:t>
      </w:r>
      <w:r w:rsidR="0091766E" w:rsidRPr="000A2CF3">
        <w:rPr>
          <w:bCs/>
        </w:rPr>
        <w:t>m)</w:t>
      </w:r>
      <w:r w:rsidR="004C5118" w:rsidRPr="000A2CF3">
        <w:rPr>
          <w:bCs/>
        </w:rPr>
        <w:t>.</w:t>
      </w:r>
      <w:r w:rsidR="00690541" w:rsidRPr="000A2CF3">
        <w:rPr>
          <w:bCs/>
        </w:rPr>
        <w:t xml:space="preserve"> This represents a reduction in overspend of </w:t>
      </w:r>
      <w:r w:rsidR="003F279E" w:rsidRPr="000A2CF3">
        <w:rPr>
          <w:bCs/>
        </w:rPr>
        <w:t>(</w:t>
      </w:r>
      <w:r w:rsidR="00690541" w:rsidRPr="000A2CF3">
        <w:rPr>
          <w:bCs/>
        </w:rPr>
        <w:t>£0.</w:t>
      </w:r>
      <w:r w:rsidR="009E5813" w:rsidRPr="000A2CF3">
        <w:rPr>
          <w:bCs/>
        </w:rPr>
        <w:t>221</w:t>
      </w:r>
      <w:r w:rsidR="00690541" w:rsidRPr="000A2CF3">
        <w:rPr>
          <w:bCs/>
        </w:rPr>
        <w:t>m</w:t>
      </w:r>
      <w:r w:rsidR="003F279E" w:rsidRPr="000A2CF3">
        <w:rPr>
          <w:bCs/>
        </w:rPr>
        <w:t>)</w:t>
      </w:r>
      <w:r w:rsidR="00690541" w:rsidRPr="000A2CF3">
        <w:rPr>
          <w:bCs/>
        </w:rPr>
        <w:t xml:space="preserve"> from the position reported at Quarter </w:t>
      </w:r>
      <w:r w:rsidR="009E5813" w:rsidRPr="000A2CF3">
        <w:rPr>
          <w:bCs/>
        </w:rPr>
        <w:t>2</w:t>
      </w:r>
      <w:r w:rsidR="00690541" w:rsidRPr="000A2CF3">
        <w:rPr>
          <w:bCs/>
        </w:rPr>
        <w:t>. The main reductions are:-</w:t>
      </w:r>
      <w:r w:rsidR="00627173">
        <w:rPr>
          <w:rFonts w:cs="Arial"/>
          <w:b/>
          <w:szCs w:val="24"/>
        </w:rPr>
        <w:t xml:space="preserve"> </w:t>
      </w:r>
      <w:r w:rsidR="005359A0">
        <w:rPr>
          <w:rFonts w:cs="Arial"/>
          <w:b/>
          <w:szCs w:val="24"/>
        </w:rPr>
        <w:t xml:space="preserve"> </w:t>
      </w:r>
    </w:p>
    <w:p w14:paraId="00CA8326" w14:textId="77777777" w:rsidR="00FB7B2D" w:rsidRDefault="00FB7B2D" w:rsidP="000A3C5C">
      <w:pPr>
        <w:ind w:left="709" w:hanging="709"/>
        <w:jc w:val="both"/>
        <w:rPr>
          <w:rFonts w:cs="Arial"/>
          <w:b/>
          <w:szCs w:val="24"/>
        </w:rPr>
      </w:pPr>
    </w:p>
    <w:p w14:paraId="0A980BF4" w14:textId="02A5254A" w:rsidR="005C1136" w:rsidRDefault="007F760C" w:rsidP="000A2CF3">
      <w:pPr>
        <w:pStyle w:val="ListParagraph"/>
        <w:numPr>
          <w:ilvl w:val="0"/>
          <w:numId w:val="155"/>
        </w:numPr>
        <w:spacing w:after="120"/>
        <w:jc w:val="both"/>
        <w:rPr>
          <w:bCs/>
        </w:rPr>
      </w:pPr>
      <w:r w:rsidRPr="00CB1B58">
        <w:rPr>
          <w:b/>
          <w:bCs/>
        </w:rPr>
        <w:lastRenderedPageBreak/>
        <w:t>£</w:t>
      </w:r>
      <w:r w:rsidR="00CB01F5">
        <w:rPr>
          <w:b/>
          <w:bCs/>
        </w:rPr>
        <w:t>0.</w:t>
      </w:r>
      <w:r w:rsidR="003F279E">
        <w:rPr>
          <w:b/>
          <w:bCs/>
        </w:rPr>
        <w:t>1</w:t>
      </w:r>
      <w:r w:rsidRPr="00CB1B58">
        <w:rPr>
          <w:b/>
          <w:bCs/>
        </w:rPr>
        <w:t>8</w:t>
      </w:r>
      <w:r w:rsidR="003F279E">
        <w:rPr>
          <w:b/>
          <w:bCs/>
        </w:rPr>
        <w:t>3</w:t>
      </w:r>
      <w:r w:rsidRPr="00CB1B58">
        <w:rPr>
          <w:b/>
          <w:bCs/>
        </w:rPr>
        <w:t>k Reduction in children’s placements spend</w:t>
      </w:r>
      <w:r>
        <w:rPr>
          <w:bCs/>
        </w:rPr>
        <w:t xml:space="preserve"> </w:t>
      </w:r>
      <w:r w:rsidR="00BB7FA8">
        <w:rPr>
          <w:bCs/>
        </w:rPr>
        <w:t>as a result of planned actions</w:t>
      </w:r>
      <w:r w:rsidRPr="007F760C">
        <w:rPr>
          <w:bCs/>
        </w:rPr>
        <w:t>. In particular there have been significant reductions to the numbers of children in residential, external fostering and semi-independent placements</w:t>
      </w:r>
      <w:r w:rsidR="005C1136">
        <w:rPr>
          <w:bCs/>
        </w:rPr>
        <w:t>.</w:t>
      </w:r>
    </w:p>
    <w:p w14:paraId="4FDBE595" w14:textId="1CE25888" w:rsidR="002F1970" w:rsidRPr="000A2CF3" w:rsidRDefault="005C1136" w:rsidP="000A2CF3">
      <w:pPr>
        <w:pStyle w:val="ListParagraph"/>
        <w:numPr>
          <w:ilvl w:val="0"/>
          <w:numId w:val="155"/>
        </w:numPr>
        <w:spacing w:after="120"/>
        <w:jc w:val="both"/>
        <w:rPr>
          <w:bCs/>
        </w:rPr>
      </w:pPr>
      <w:r w:rsidRPr="005C1136">
        <w:rPr>
          <w:b/>
          <w:bCs/>
        </w:rPr>
        <w:t>£</w:t>
      </w:r>
      <w:r w:rsidR="003F279E">
        <w:rPr>
          <w:b/>
          <w:bCs/>
        </w:rPr>
        <w:t>67</w:t>
      </w:r>
      <w:r w:rsidRPr="005C1136">
        <w:rPr>
          <w:b/>
          <w:bCs/>
        </w:rPr>
        <w:t xml:space="preserve">k </w:t>
      </w:r>
      <w:r w:rsidR="003F279E" w:rsidRPr="003F279E">
        <w:rPr>
          <w:b/>
          <w:bCs/>
        </w:rPr>
        <w:t xml:space="preserve">Anticipated </w:t>
      </w:r>
      <w:r w:rsidR="00905E10">
        <w:rPr>
          <w:b/>
          <w:bCs/>
        </w:rPr>
        <w:t>r</w:t>
      </w:r>
      <w:r w:rsidR="003F279E" w:rsidRPr="003F279E">
        <w:rPr>
          <w:b/>
          <w:bCs/>
        </w:rPr>
        <w:t xml:space="preserve">educed </w:t>
      </w:r>
      <w:r w:rsidR="00905E10">
        <w:rPr>
          <w:b/>
          <w:bCs/>
        </w:rPr>
        <w:t>r</w:t>
      </w:r>
      <w:r w:rsidR="003F279E" w:rsidRPr="003F279E">
        <w:rPr>
          <w:b/>
          <w:bCs/>
        </w:rPr>
        <w:t xml:space="preserve">equirement for </w:t>
      </w:r>
      <w:r w:rsidR="00905E10">
        <w:rPr>
          <w:b/>
          <w:bCs/>
        </w:rPr>
        <w:t>s</w:t>
      </w:r>
      <w:r w:rsidR="003F279E" w:rsidRPr="003F279E">
        <w:rPr>
          <w:b/>
          <w:bCs/>
        </w:rPr>
        <w:t xml:space="preserve">ecure </w:t>
      </w:r>
      <w:r w:rsidR="00905E10">
        <w:rPr>
          <w:b/>
          <w:bCs/>
        </w:rPr>
        <w:t>p</w:t>
      </w:r>
      <w:r w:rsidR="003F279E" w:rsidRPr="003F279E">
        <w:rPr>
          <w:b/>
          <w:bCs/>
        </w:rPr>
        <w:t xml:space="preserve">lacements </w:t>
      </w:r>
      <w:r>
        <w:rPr>
          <w:b/>
          <w:bCs/>
        </w:rPr>
        <w:t xml:space="preserve"> </w:t>
      </w:r>
      <w:r w:rsidR="00BB7FA8">
        <w:rPr>
          <w:bCs/>
        </w:rPr>
        <w:t>as this</w:t>
      </w:r>
      <w:r w:rsidR="002F1970" w:rsidRPr="000A2CF3">
        <w:rPr>
          <w:bCs/>
        </w:rPr>
        <w:t xml:space="preserve"> budget is demand led </w:t>
      </w:r>
      <w:r w:rsidR="00BB7FA8">
        <w:rPr>
          <w:bCs/>
        </w:rPr>
        <w:t>and there are now only 3 months of the financial year remaining.</w:t>
      </w:r>
    </w:p>
    <w:p w14:paraId="63C3E143" w14:textId="5FA9D5D7" w:rsidR="00690541" w:rsidRDefault="005C1136" w:rsidP="000A3C5C">
      <w:pPr>
        <w:pStyle w:val="ListParagraph"/>
        <w:numPr>
          <w:ilvl w:val="0"/>
          <w:numId w:val="155"/>
        </w:numPr>
        <w:spacing w:after="120"/>
        <w:jc w:val="both"/>
      </w:pPr>
      <w:r w:rsidRPr="00BB7FA8">
        <w:rPr>
          <w:b/>
          <w:bCs/>
        </w:rPr>
        <w:t>£1</w:t>
      </w:r>
      <w:r w:rsidR="002F1970" w:rsidRPr="00BB7FA8">
        <w:rPr>
          <w:b/>
          <w:bCs/>
        </w:rPr>
        <w:t xml:space="preserve">61k Additional </w:t>
      </w:r>
      <w:r w:rsidR="00905E10">
        <w:rPr>
          <w:b/>
          <w:bCs/>
        </w:rPr>
        <w:t>i</w:t>
      </w:r>
      <w:r w:rsidR="002F1970" w:rsidRPr="00BB7FA8">
        <w:rPr>
          <w:b/>
          <w:bCs/>
        </w:rPr>
        <w:t xml:space="preserve">ncome </w:t>
      </w:r>
      <w:r w:rsidR="00905E10">
        <w:rPr>
          <w:b/>
          <w:bCs/>
        </w:rPr>
        <w:t>for</w:t>
      </w:r>
      <w:r w:rsidR="002F1970" w:rsidRPr="00BB7FA8">
        <w:rPr>
          <w:b/>
          <w:bCs/>
        </w:rPr>
        <w:t xml:space="preserve"> Asylum</w:t>
      </w:r>
      <w:r w:rsidR="00905E10">
        <w:rPr>
          <w:b/>
          <w:bCs/>
        </w:rPr>
        <w:t xml:space="preserve"> </w:t>
      </w:r>
      <w:r w:rsidR="0014629D">
        <w:rPr>
          <w:b/>
          <w:bCs/>
        </w:rPr>
        <w:t>seekers</w:t>
      </w:r>
      <w:r w:rsidR="002F1970" w:rsidRPr="00BB7FA8">
        <w:rPr>
          <w:b/>
          <w:bCs/>
        </w:rPr>
        <w:t xml:space="preserve"> </w:t>
      </w:r>
      <w:r w:rsidR="002F1970" w:rsidRPr="00BB7FA8">
        <w:rPr>
          <w:bCs/>
        </w:rPr>
        <w:t>Following confirmation by the Home Office and verification of eligible cases</w:t>
      </w:r>
      <w:r w:rsidR="00905E10">
        <w:rPr>
          <w:bCs/>
        </w:rPr>
        <w:t>.</w:t>
      </w:r>
      <w:r w:rsidR="002F1970" w:rsidRPr="00BB7FA8">
        <w:rPr>
          <w:bCs/>
        </w:rPr>
        <w:t xml:space="preserve"> </w:t>
      </w:r>
      <w:r w:rsidR="00690541" w:rsidRPr="00690541">
        <w:t>The above reductions are partially offset by</w:t>
      </w:r>
    </w:p>
    <w:p w14:paraId="2C838C96" w14:textId="77777777" w:rsidR="00690541" w:rsidRPr="00022EDA" w:rsidRDefault="00690541" w:rsidP="00CB1B58">
      <w:pPr>
        <w:pStyle w:val="ListParagraph"/>
        <w:rPr>
          <w:bCs/>
        </w:rPr>
      </w:pPr>
    </w:p>
    <w:p w14:paraId="3015726B" w14:textId="68F38801" w:rsidR="00690541" w:rsidRPr="00690541" w:rsidRDefault="00690541" w:rsidP="000A2CF3">
      <w:pPr>
        <w:pStyle w:val="ListParagraph"/>
        <w:numPr>
          <w:ilvl w:val="0"/>
          <w:numId w:val="156"/>
        </w:numPr>
        <w:spacing w:after="120"/>
        <w:jc w:val="both"/>
        <w:rPr>
          <w:bCs/>
        </w:rPr>
      </w:pPr>
      <w:r w:rsidRPr="00CB1B58">
        <w:rPr>
          <w:b/>
          <w:bCs/>
        </w:rPr>
        <w:t>£</w:t>
      </w:r>
      <w:r w:rsidR="002F1970" w:rsidRPr="00CB1B58">
        <w:rPr>
          <w:b/>
          <w:bCs/>
        </w:rPr>
        <w:t>1</w:t>
      </w:r>
      <w:r w:rsidR="002F1970">
        <w:rPr>
          <w:b/>
          <w:bCs/>
        </w:rPr>
        <w:t>00</w:t>
      </w:r>
      <w:r w:rsidR="002F1970" w:rsidRPr="00CB1B58">
        <w:rPr>
          <w:b/>
          <w:bCs/>
        </w:rPr>
        <w:t xml:space="preserve">k </w:t>
      </w:r>
      <w:r w:rsidR="002F1970" w:rsidRPr="002F1970">
        <w:rPr>
          <w:b/>
          <w:bCs/>
        </w:rPr>
        <w:t xml:space="preserve">Additional pressure in legal costs </w:t>
      </w:r>
      <w:r w:rsidR="002F1970">
        <w:rPr>
          <w:b/>
          <w:bCs/>
        </w:rPr>
        <w:t xml:space="preserve">- </w:t>
      </w:r>
      <w:r w:rsidR="002F1970" w:rsidRPr="002F1970">
        <w:rPr>
          <w:bCs/>
        </w:rPr>
        <w:t>This increase results from an increase in the number and complexity of care proceedings including judicial reviews for age assessments</w:t>
      </w:r>
      <w:r w:rsidR="002F1970">
        <w:rPr>
          <w:bCs/>
        </w:rPr>
        <w:t>.</w:t>
      </w:r>
      <w:r w:rsidR="002F1970" w:rsidRPr="002F1970">
        <w:rPr>
          <w:bCs/>
        </w:rPr>
        <w:t xml:space="preserve"> </w:t>
      </w:r>
    </w:p>
    <w:p w14:paraId="24F6B397" w14:textId="117D71AD" w:rsidR="002F1970" w:rsidRPr="002F1970" w:rsidRDefault="008622FB" w:rsidP="000A2CF3">
      <w:pPr>
        <w:pStyle w:val="ListParagraph"/>
        <w:numPr>
          <w:ilvl w:val="0"/>
          <w:numId w:val="156"/>
        </w:numPr>
        <w:spacing w:after="120"/>
        <w:jc w:val="both"/>
        <w:rPr>
          <w:b/>
          <w:bCs/>
        </w:rPr>
      </w:pPr>
      <w:r w:rsidRPr="002F1970">
        <w:rPr>
          <w:b/>
          <w:bCs/>
        </w:rPr>
        <w:t>£</w:t>
      </w:r>
      <w:r w:rsidR="002F1970" w:rsidRPr="002F1970">
        <w:rPr>
          <w:b/>
          <w:bCs/>
        </w:rPr>
        <w:t xml:space="preserve">45k Increased advisor capacity </w:t>
      </w:r>
      <w:r w:rsidR="002F1970" w:rsidRPr="000A2CF3">
        <w:rPr>
          <w:bCs/>
        </w:rPr>
        <w:t>required to support the resolution of the Schools Expansion Programme dispute</w:t>
      </w:r>
      <w:r w:rsidR="002F1970">
        <w:rPr>
          <w:bCs/>
        </w:rPr>
        <w:t>.</w:t>
      </w:r>
    </w:p>
    <w:p w14:paraId="18630D37" w14:textId="147EA1CA" w:rsidR="002F1970" w:rsidRDefault="002F1970" w:rsidP="000A2CF3">
      <w:pPr>
        <w:pStyle w:val="ListParagraph"/>
        <w:numPr>
          <w:ilvl w:val="0"/>
          <w:numId w:val="156"/>
        </w:numPr>
        <w:spacing w:after="120"/>
        <w:jc w:val="both"/>
        <w:rPr>
          <w:bCs/>
        </w:rPr>
      </w:pPr>
      <w:r w:rsidRPr="002F1970">
        <w:rPr>
          <w:b/>
          <w:bCs/>
        </w:rPr>
        <w:t>£30k additional staffing costs</w:t>
      </w:r>
      <w:r>
        <w:rPr>
          <w:b/>
          <w:bCs/>
        </w:rPr>
        <w:t xml:space="preserve"> </w:t>
      </w:r>
      <w:r w:rsidRPr="000A2CF3">
        <w:rPr>
          <w:bCs/>
        </w:rPr>
        <w:t xml:space="preserve">in relation to the Indian Social Worker recruitment linked to changes in Government regulations </w:t>
      </w:r>
    </w:p>
    <w:p w14:paraId="26EE8D6C" w14:textId="7FC2F839" w:rsidR="002F1970" w:rsidRPr="000A2CF3" w:rsidRDefault="00FB7B2D" w:rsidP="000A2CF3">
      <w:pPr>
        <w:pStyle w:val="ListParagraph"/>
        <w:numPr>
          <w:ilvl w:val="0"/>
          <w:numId w:val="156"/>
        </w:numPr>
        <w:spacing w:after="120"/>
        <w:jc w:val="both"/>
        <w:rPr>
          <w:bCs/>
        </w:rPr>
      </w:pPr>
      <w:r>
        <w:rPr>
          <w:b/>
          <w:bCs/>
        </w:rPr>
        <w:t>£</w:t>
      </w:r>
      <w:r w:rsidR="0075587A">
        <w:rPr>
          <w:b/>
          <w:bCs/>
        </w:rPr>
        <w:t>0.0</w:t>
      </w:r>
      <w:r w:rsidR="002F1970" w:rsidRPr="002F1970">
        <w:rPr>
          <w:b/>
          <w:bCs/>
        </w:rPr>
        <w:t>15k Other small increases across the directorate</w:t>
      </w:r>
      <w:r w:rsidR="002F1970">
        <w:rPr>
          <w:b/>
          <w:bCs/>
        </w:rPr>
        <w:t>.</w:t>
      </w:r>
    </w:p>
    <w:p w14:paraId="1B3029BA" w14:textId="77777777" w:rsidR="0053716D" w:rsidRDefault="0053716D" w:rsidP="000A2CF3">
      <w:pPr>
        <w:pStyle w:val="ListParagraph"/>
        <w:spacing w:after="120"/>
        <w:ind w:left="1033"/>
        <w:jc w:val="both"/>
        <w:rPr>
          <w:b/>
          <w:bCs/>
        </w:rPr>
      </w:pPr>
    </w:p>
    <w:p w14:paraId="024547EF" w14:textId="2F889A9E" w:rsidR="009C2B2E" w:rsidRPr="000A3C5C" w:rsidRDefault="009C2B2E" w:rsidP="000A3C5C">
      <w:pPr>
        <w:pStyle w:val="ListParagraph"/>
        <w:numPr>
          <w:ilvl w:val="1"/>
          <w:numId w:val="173"/>
        </w:numPr>
        <w:spacing w:after="120"/>
        <w:ind w:left="709" w:hanging="709"/>
        <w:jc w:val="both"/>
        <w:rPr>
          <w:bCs/>
        </w:rPr>
      </w:pPr>
      <w:r w:rsidRPr="000C69EC">
        <w:rPr>
          <w:bCs/>
        </w:rPr>
        <w:t xml:space="preserve">The headline pressures </w:t>
      </w:r>
      <w:r w:rsidR="00F224CB" w:rsidRPr="000A3C5C">
        <w:rPr>
          <w:bCs/>
        </w:rPr>
        <w:t>of £3.309m before one off management action of £</w:t>
      </w:r>
      <w:r w:rsidR="00D669D5" w:rsidRPr="000A3C5C">
        <w:rPr>
          <w:bCs/>
        </w:rPr>
        <w:t>0.</w:t>
      </w:r>
      <w:r w:rsidR="00F224CB" w:rsidRPr="000A3C5C">
        <w:rPr>
          <w:bCs/>
        </w:rPr>
        <w:t>529</w:t>
      </w:r>
      <w:r w:rsidR="00D669D5" w:rsidRPr="000A3C5C">
        <w:rPr>
          <w:bCs/>
        </w:rPr>
        <w:t>m</w:t>
      </w:r>
      <w:r w:rsidR="00F224CB" w:rsidRPr="000A3C5C">
        <w:rPr>
          <w:bCs/>
        </w:rPr>
        <w:t xml:space="preserve">  </w:t>
      </w:r>
      <w:r w:rsidRPr="000A3C5C">
        <w:rPr>
          <w:bCs/>
        </w:rPr>
        <w:t>are as follows:</w:t>
      </w:r>
    </w:p>
    <w:p w14:paraId="29591EAB" w14:textId="3E677BC1" w:rsidR="009C2B2E" w:rsidRDefault="009C2B2E" w:rsidP="000A3C5C">
      <w:pPr>
        <w:pStyle w:val="ListParagraph"/>
        <w:numPr>
          <w:ilvl w:val="0"/>
          <w:numId w:val="172"/>
        </w:numPr>
        <w:spacing w:after="120"/>
        <w:jc w:val="both"/>
        <w:rPr>
          <w:bCs/>
        </w:rPr>
      </w:pPr>
      <w:r w:rsidRPr="009C2B2E">
        <w:rPr>
          <w:b/>
          <w:bCs/>
        </w:rPr>
        <w:t>Children’s Placements and Accommodation £</w:t>
      </w:r>
      <w:r>
        <w:rPr>
          <w:b/>
          <w:bCs/>
        </w:rPr>
        <w:t>2.</w:t>
      </w:r>
      <w:r w:rsidR="00C9455C">
        <w:rPr>
          <w:b/>
          <w:bCs/>
        </w:rPr>
        <w:t>2</w:t>
      </w:r>
      <w:r w:rsidR="00F224CB">
        <w:rPr>
          <w:b/>
          <w:bCs/>
        </w:rPr>
        <w:t>11</w:t>
      </w:r>
      <w:r w:rsidRPr="009C2B2E">
        <w:rPr>
          <w:b/>
          <w:bCs/>
        </w:rPr>
        <w:t>m overspend</w:t>
      </w:r>
      <w:r w:rsidRPr="009C2B2E">
        <w:rPr>
          <w:bCs/>
        </w:rPr>
        <w:t xml:space="preserve"> </w:t>
      </w:r>
      <w:r w:rsidR="00CB01F5">
        <w:rPr>
          <w:bCs/>
        </w:rPr>
        <w:t>- There</w:t>
      </w:r>
      <w:r w:rsidR="00DF41B0" w:rsidRPr="000A3C5C">
        <w:rPr>
          <w:bCs/>
        </w:rPr>
        <w:t xml:space="preserve"> is an overall reduction of £</w:t>
      </w:r>
      <w:r w:rsidR="00D669D5" w:rsidRPr="000A3C5C">
        <w:rPr>
          <w:bCs/>
        </w:rPr>
        <w:t>0.</w:t>
      </w:r>
      <w:r w:rsidR="00DF41B0" w:rsidRPr="000A3C5C">
        <w:rPr>
          <w:bCs/>
        </w:rPr>
        <w:t>411</w:t>
      </w:r>
      <w:r w:rsidR="00D669D5" w:rsidRPr="000A3C5C">
        <w:rPr>
          <w:bCs/>
        </w:rPr>
        <w:t>m</w:t>
      </w:r>
      <w:r w:rsidRPr="00136214">
        <w:rPr>
          <w:bCs/>
        </w:rPr>
        <w:t xml:space="preserve"> from the</w:t>
      </w:r>
      <w:r w:rsidR="00DF41B0" w:rsidRPr="000A3C5C">
        <w:rPr>
          <w:bCs/>
        </w:rPr>
        <w:t xml:space="preserve"> overspend reported at Quarter 2</w:t>
      </w:r>
      <w:r w:rsidRPr="00136214">
        <w:rPr>
          <w:bCs/>
        </w:rPr>
        <w:t>. As part of the service’s planned action</w:t>
      </w:r>
      <w:r w:rsidR="00136214" w:rsidRPr="000A3C5C">
        <w:rPr>
          <w:bCs/>
        </w:rPr>
        <w:t>s, there has been reductions of 2</w:t>
      </w:r>
      <w:r w:rsidRPr="00136214">
        <w:rPr>
          <w:bCs/>
        </w:rPr>
        <w:t xml:space="preserve"> </w:t>
      </w:r>
      <w:r w:rsidR="00136214" w:rsidRPr="000A3C5C">
        <w:rPr>
          <w:bCs/>
        </w:rPr>
        <w:t>children in residential placements, 2 in mother and baby placements and 3 in semi-independent placements</w:t>
      </w:r>
      <w:r w:rsidR="00136214" w:rsidRPr="00136214">
        <w:rPr>
          <w:bCs/>
        </w:rPr>
        <w:t xml:space="preserve"> since quarter 2.</w:t>
      </w:r>
      <w:r w:rsidR="00136214">
        <w:rPr>
          <w:bCs/>
        </w:rPr>
        <w:t xml:space="preserve"> </w:t>
      </w:r>
    </w:p>
    <w:p w14:paraId="1843CF2D" w14:textId="3EABAD83" w:rsidR="009C2B2E" w:rsidRDefault="009C2B2E" w:rsidP="000A3C5C">
      <w:pPr>
        <w:pStyle w:val="ListParagraph"/>
        <w:numPr>
          <w:ilvl w:val="0"/>
          <w:numId w:val="172"/>
        </w:numPr>
        <w:spacing w:after="120"/>
        <w:jc w:val="both"/>
        <w:rPr>
          <w:bCs/>
        </w:rPr>
      </w:pPr>
      <w:r w:rsidRPr="009C2B2E">
        <w:rPr>
          <w:b/>
          <w:bCs/>
        </w:rPr>
        <w:t>Children and Young People’s Service Frontlin</w:t>
      </w:r>
      <w:r w:rsidR="00C9455C">
        <w:rPr>
          <w:b/>
          <w:bCs/>
        </w:rPr>
        <w:t>e Teams £0.4</w:t>
      </w:r>
      <w:r w:rsidR="00DF41B0">
        <w:rPr>
          <w:b/>
          <w:bCs/>
        </w:rPr>
        <w:t>41</w:t>
      </w:r>
      <w:r w:rsidRPr="009C2B2E">
        <w:rPr>
          <w:b/>
          <w:bCs/>
        </w:rPr>
        <w:t>m overspend</w:t>
      </w:r>
      <w:r w:rsidRPr="009C2B2E">
        <w:rPr>
          <w:bCs/>
        </w:rPr>
        <w:t xml:space="preserve"> -</w:t>
      </w:r>
      <w:r w:rsidR="00DF41B0" w:rsidRPr="00DF41B0">
        <w:rPr>
          <w:bCs/>
        </w:rPr>
        <w:t>as a result of agency staff covering vacant posts, sickness and maternity together with ‘as and when’ required staff carrying out supervised contact. In addition to this there is a one off cost for overseas social worker recruitment estimated at £</w:t>
      </w:r>
      <w:r w:rsidR="0075587A">
        <w:rPr>
          <w:bCs/>
        </w:rPr>
        <w:t>0.0</w:t>
      </w:r>
      <w:r w:rsidR="00DF41B0" w:rsidRPr="00DF41B0">
        <w:rPr>
          <w:bCs/>
        </w:rPr>
        <w:t>80</w:t>
      </w:r>
      <w:r w:rsidR="0075587A">
        <w:rPr>
          <w:bCs/>
        </w:rPr>
        <w:t>m</w:t>
      </w:r>
      <w:r w:rsidR="00DF41B0" w:rsidRPr="00DF41B0">
        <w:rPr>
          <w:bCs/>
        </w:rPr>
        <w:t xml:space="preserve"> and anticipated pressures of £</w:t>
      </w:r>
      <w:r w:rsidR="0075587A">
        <w:rPr>
          <w:bCs/>
        </w:rPr>
        <w:t>0.</w:t>
      </w:r>
      <w:r w:rsidR="00DF41B0" w:rsidRPr="00DF41B0">
        <w:rPr>
          <w:bCs/>
        </w:rPr>
        <w:t>150</w:t>
      </w:r>
      <w:r w:rsidR="0075587A">
        <w:rPr>
          <w:bCs/>
        </w:rPr>
        <w:t>m</w:t>
      </w:r>
      <w:r w:rsidR="00DF41B0" w:rsidRPr="00DF41B0">
        <w:rPr>
          <w:bCs/>
        </w:rPr>
        <w:t xml:space="preserve"> relating to IT &amp; mobile phone equipment </w:t>
      </w:r>
    </w:p>
    <w:p w14:paraId="4F5C541C" w14:textId="77777777" w:rsidR="00DF41B0" w:rsidRDefault="00DF41B0" w:rsidP="000A3C5C">
      <w:pPr>
        <w:pStyle w:val="ListParagraph"/>
        <w:numPr>
          <w:ilvl w:val="0"/>
          <w:numId w:val="172"/>
        </w:numPr>
        <w:spacing w:after="120"/>
        <w:jc w:val="both"/>
        <w:rPr>
          <w:bCs/>
        </w:rPr>
      </w:pPr>
      <w:r w:rsidRPr="00DF41B0">
        <w:rPr>
          <w:bCs/>
        </w:rPr>
        <w:t>Agency costs continue to be reduced during the remainder of the year with the continued arrival of social workers from India, and the permanent recruitment of social workers who complete the front-line and step-up programmes. A total of 11 social workers have already arrived from India. A further 5 are anticipated to arrive in February 2018 which would further reduce costs</w:t>
      </w:r>
      <w:r>
        <w:rPr>
          <w:bCs/>
        </w:rPr>
        <w:t>.</w:t>
      </w:r>
    </w:p>
    <w:p w14:paraId="1738CEBD" w14:textId="2DF1219F" w:rsidR="009C2B2E" w:rsidRDefault="009C2B2E" w:rsidP="000A3C5C">
      <w:pPr>
        <w:pStyle w:val="ListParagraph"/>
        <w:numPr>
          <w:ilvl w:val="0"/>
          <w:numId w:val="172"/>
        </w:numPr>
        <w:spacing w:after="120"/>
        <w:jc w:val="both"/>
        <w:rPr>
          <w:bCs/>
        </w:rPr>
      </w:pPr>
      <w:r w:rsidRPr="009C2B2E">
        <w:rPr>
          <w:b/>
          <w:bCs/>
        </w:rPr>
        <w:t>Families with No Recourse to Public Funds £</w:t>
      </w:r>
      <w:r w:rsidR="0075587A">
        <w:rPr>
          <w:b/>
          <w:bCs/>
        </w:rPr>
        <w:t>0.0</w:t>
      </w:r>
      <w:r w:rsidRPr="009C2B2E">
        <w:rPr>
          <w:b/>
          <w:bCs/>
        </w:rPr>
        <w:t>74</w:t>
      </w:r>
      <w:r w:rsidR="0075587A">
        <w:rPr>
          <w:b/>
          <w:bCs/>
        </w:rPr>
        <w:t>m</w:t>
      </w:r>
      <w:r w:rsidRPr="009C2B2E">
        <w:rPr>
          <w:b/>
          <w:bCs/>
        </w:rPr>
        <w:t xml:space="preserve"> overspend</w:t>
      </w:r>
      <w:r w:rsidRPr="009C2B2E">
        <w:rPr>
          <w:bCs/>
        </w:rPr>
        <w:t xml:space="preserve"> - These are families being supported by the Council because they have no recourse to public funds (NRPF). The welfare reforms, along with stricter enforcement of Asylum </w:t>
      </w:r>
      <w:r w:rsidRPr="009C2B2E">
        <w:rPr>
          <w:bCs/>
        </w:rPr>
        <w:lastRenderedPageBreak/>
        <w:t xml:space="preserve">Legislation are the main causal factors for this demand, which is unpredictable in terms of volume and costs. The exit routes for ceasing funding are dependent on variable factors, many of which cannot be controlled by the Council. 1.5 FTE bespoke workers have been recruited to focus specifically on these families to help reduce costs and mitigate the financial pressures on this budget. These workers are currently </w:t>
      </w:r>
      <w:r w:rsidR="00DF41B0">
        <w:rPr>
          <w:bCs/>
        </w:rPr>
        <w:t xml:space="preserve">supporting 20 cases, 12 </w:t>
      </w:r>
      <w:r w:rsidRPr="009C2B2E">
        <w:rPr>
          <w:bCs/>
        </w:rPr>
        <w:t>cases have been successfully closed since April 2017</w:t>
      </w:r>
      <w:r>
        <w:rPr>
          <w:bCs/>
        </w:rPr>
        <w:t>.</w:t>
      </w:r>
    </w:p>
    <w:p w14:paraId="5642BF39" w14:textId="77777777" w:rsidR="00BB7FA8" w:rsidRDefault="00BB7FA8" w:rsidP="00BB7FA8">
      <w:pPr>
        <w:pStyle w:val="ListParagraph"/>
        <w:numPr>
          <w:ilvl w:val="0"/>
          <w:numId w:val="172"/>
        </w:numPr>
        <w:rPr>
          <w:rFonts w:cs="Arial"/>
        </w:rPr>
      </w:pPr>
      <w:r w:rsidRPr="00BB7FA8">
        <w:rPr>
          <w:rFonts w:cs="Arial"/>
        </w:rPr>
        <w:t>A premium service from the Home Office involving the co-location of an Immigration &amp; Enforcement Officer for 3 days per week is in place. This will fast-track all asylum related processes and background checks. This post started in July. A number of asylum seeking young people have already moved on to the National Asylum Seeking Service as a direct result of the work undertaken by this post holder. The screening processes around NRPF at the front door have prevented cases coming into the NRPF Service, reducing the need for on-going payments.</w:t>
      </w:r>
    </w:p>
    <w:p w14:paraId="3F142EFE" w14:textId="77777777" w:rsidR="00B352D9" w:rsidRPr="00BB7FA8" w:rsidRDefault="00B352D9" w:rsidP="000A3C5C">
      <w:pPr>
        <w:pStyle w:val="ListParagraph"/>
        <w:ind w:left="1429"/>
        <w:rPr>
          <w:rFonts w:cs="Arial"/>
        </w:rPr>
      </w:pPr>
    </w:p>
    <w:p w14:paraId="7F2FF7BC" w14:textId="61A85F2D" w:rsidR="009C2B2E" w:rsidRDefault="009C2B2E" w:rsidP="000A3C5C">
      <w:pPr>
        <w:pStyle w:val="ListParagraph"/>
        <w:numPr>
          <w:ilvl w:val="0"/>
          <w:numId w:val="172"/>
        </w:numPr>
        <w:spacing w:after="120"/>
        <w:jc w:val="both"/>
        <w:rPr>
          <w:bCs/>
        </w:rPr>
      </w:pPr>
      <w:r>
        <w:rPr>
          <w:b/>
          <w:bCs/>
        </w:rPr>
        <w:t>Departmental Legal Costs £</w:t>
      </w:r>
      <w:r w:rsidR="0075587A">
        <w:rPr>
          <w:b/>
          <w:bCs/>
        </w:rPr>
        <w:t>0.</w:t>
      </w:r>
      <w:r>
        <w:rPr>
          <w:b/>
          <w:bCs/>
        </w:rPr>
        <w:t>2</w:t>
      </w:r>
      <w:r w:rsidR="00DF41B0">
        <w:rPr>
          <w:b/>
          <w:bCs/>
        </w:rPr>
        <w:t>03</w:t>
      </w:r>
      <w:r w:rsidR="0075587A">
        <w:rPr>
          <w:b/>
          <w:bCs/>
        </w:rPr>
        <w:t>m</w:t>
      </w:r>
      <w:r w:rsidRPr="009C2B2E">
        <w:rPr>
          <w:b/>
          <w:bCs/>
        </w:rPr>
        <w:t xml:space="preserve"> overspend</w:t>
      </w:r>
      <w:r w:rsidRPr="009C2B2E">
        <w:rPr>
          <w:bCs/>
        </w:rPr>
        <w:t xml:space="preserve"> </w:t>
      </w:r>
    </w:p>
    <w:p w14:paraId="4B35CF89" w14:textId="4E73E37A" w:rsidR="009C2B2E" w:rsidRDefault="009C2B2E" w:rsidP="000A3C5C">
      <w:pPr>
        <w:pStyle w:val="ListParagraph"/>
        <w:numPr>
          <w:ilvl w:val="0"/>
          <w:numId w:val="172"/>
        </w:numPr>
        <w:spacing w:after="120"/>
        <w:jc w:val="both"/>
        <w:rPr>
          <w:bCs/>
        </w:rPr>
      </w:pPr>
      <w:r w:rsidRPr="009C2B2E">
        <w:rPr>
          <w:b/>
          <w:bCs/>
        </w:rPr>
        <w:t>Signers and Interpreters Fees £</w:t>
      </w:r>
      <w:r w:rsidR="0075587A">
        <w:rPr>
          <w:b/>
          <w:bCs/>
        </w:rPr>
        <w:t>0.0</w:t>
      </w:r>
      <w:r w:rsidRPr="009C2B2E">
        <w:rPr>
          <w:b/>
          <w:bCs/>
        </w:rPr>
        <w:t>90</w:t>
      </w:r>
      <w:r w:rsidR="0075587A">
        <w:rPr>
          <w:b/>
          <w:bCs/>
        </w:rPr>
        <w:t>m</w:t>
      </w:r>
      <w:r w:rsidRPr="009C2B2E">
        <w:rPr>
          <w:b/>
          <w:bCs/>
        </w:rPr>
        <w:t xml:space="preserve"> overspend</w:t>
      </w:r>
      <w:r w:rsidRPr="009C2B2E">
        <w:rPr>
          <w:bCs/>
        </w:rPr>
        <w:t xml:space="preserve"> </w:t>
      </w:r>
    </w:p>
    <w:p w14:paraId="1FE5405C" w14:textId="45352B8B" w:rsidR="009C2B2E" w:rsidRDefault="00DF41B0" w:rsidP="000A3C5C">
      <w:pPr>
        <w:pStyle w:val="ListParagraph"/>
        <w:numPr>
          <w:ilvl w:val="0"/>
          <w:numId w:val="172"/>
        </w:numPr>
        <w:spacing w:after="120"/>
        <w:jc w:val="both"/>
        <w:rPr>
          <w:bCs/>
        </w:rPr>
      </w:pPr>
      <w:r>
        <w:rPr>
          <w:b/>
          <w:bCs/>
        </w:rPr>
        <w:t>Capital Team £</w:t>
      </w:r>
      <w:r w:rsidR="0075587A">
        <w:rPr>
          <w:b/>
          <w:bCs/>
        </w:rPr>
        <w:t>0.</w:t>
      </w:r>
      <w:r>
        <w:rPr>
          <w:b/>
          <w:bCs/>
        </w:rPr>
        <w:t>221</w:t>
      </w:r>
      <w:r w:rsidR="0075587A">
        <w:rPr>
          <w:b/>
          <w:bCs/>
        </w:rPr>
        <w:t>m</w:t>
      </w:r>
      <w:r w:rsidR="009C2B2E" w:rsidRPr="009C2B2E">
        <w:rPr>
          <w:b/>
          <w:bCs/>
        </w:rPr>
        <w:t xml:space="preserve"> overspend</w:t>
      </w:r>
      <w:r w:rsidR="00905E10">
        <w:rPr>
          <w:b/>
          <w:bCs/>
        </w:rPr>
        <w:t xml:space="preserve"> - </w:t>
      </w:r>
      <w:r w:rsidR="009C2B2E" w:rsidRPr="009C2B2E">
        <w:rPr>
          <w:bCs/>
        </w:rPr>
        <w:t xml:space="preserve"> </w:t>
      </w:r>
      <w:r w:rsidR="00905E10" w:rsidRPr="00905E10">
        <w:rPr>
          <w:bCs/>
        </w:rPr>
        <w:t>There are anticipated costs for external legal services and external commercial and technical advice services in relation to continued efforts to close the accounts for School Expansion Programme phase 2 (SEP2)</w:t>
      </w:r>
      <w:r w:rsidR="00905E10">
        <w:rPr>
          <w:bCs/>
        </w:rPr>
        <w:t>.</w:t>
      </w:r>
    </w:p>
    <w:p w14:paraId="0E13999E" w14:textId="6C61B0C5" w:rsidR="009C2B2E" w:rsidRDefault="009C2B2E" w:rsidP="000A3C5C">
      <w:pPr>
        <w:pStyle w:val="ListParagraph"/>
        <w:numPr>
          <w:ilvl w:val="0"/>
          <w:numId w:val="172"/>
        </w:numPr>
        <w:spacing w:after="120"/>
        <w:jc w:val="both"/>
        <w:rPr>
          <w:bCs/>
        </w:rPr>
      </w:pPr>
      <w:r w:rsidRPr="009C2B2E">
        <w:rPr>
          <w:b/>
          <w:bCs/>
        </w:rPr>
        <w:t>Commissioning Team £</w:t>
      </w:r>
      <w:r w:rsidR="0075587A">
        <w:rPr>
          <w:b/>
          <w:bCs/>
        </w:rPr>
        <w:t>0.0</w:t>
      </w:r>
      <w:r w:rsidRPr="009C2B2E">
        <w:rPr>
          <w:b/>
          <w:bCs/>
        </w:rPr>
        <w:t>30</w:t>
      </w:r>
      <w:r w:rsidR="0075587A">
        <w:rPr>
          <w:b/>
          <w:bCs/>
        </w:rPr>
        <w:t>m</w:t>
      </w:r>
      <w:r w:rsidRPr="009C2B2E">
        <w:rPr>
          <w:b/>
          <w:bCs/>
        </w:rPr>
        <w:t xml:space="preserve"> overspend</w:t>
      </w:r>
      <w:r w:rsidRPr="009C2B2E">
        <w:rPr>
          <w:bCs/>
        </w:rPr>
        <w:t xml:space="preserve">  </w:t>
      </w:r>
    </w:p>
    <w:p w14:paraId="72199D57" w14:textId="21BCFB74" w:rsidR="009C2B2E" w:rsidRDefault="009C2B2E" w:rsidP="000A3C5C">
      <w:pPr>
        <w:pStyle w:val="ListParagraph"/>
        <w:numPr>
          <w:ilvl w:val="0"/>
          <w:numId w:val="172"/>
        </w:numPr>
        <w:spacing w:after="120"/>
        <w:jc w:val="both"/>
        <w:rPr>
          <w:bCs/>
        </w:rPr>
      </w:pPr>
      <w:r w:rsidRPr="009C2B2E">
        <w:rPr>
          <w:b/>
          <w:bCs/>
        </w:rPr>
        <w:t>Harrow School Improvement Partnership £</w:t>
      </w:r>
      <w:r w:rsidR="0075587A">
        <w:rPr>
          <w:b/>
          <w:bCs/>
        </w:rPr>
        <w:t>0.</w:t>
      </w:r>
      <w:r w:rsidRPr="009C2B2E">
        <w:rPr>
          <w:b/>
          <w:bCs/>
        </w:rPr>
        <w:t>179</w:t>
      </w:r>
      <w:r w:rsidR="0075587A">
        <w:rPr>
          <w:b/>
          <w:bCs/>
        </w:rPr>
        <w:t>m</w:t>
      </w:r>
      <w:r w:rsidRPr="009C2B2E">
        <w:rPr>
          <w:b/>
          <w:bCs/>
        </w:rPr>
        <w:t xml:space="preserve"> overspend</w:t>
      </w:r>
      <w:r>
        <w:rPr>
          <w:bCs/>
        </w:rPr>
        <w:t>.</w:t>
      </w:r>
    </w:p>
    <w:p w14:paraId="1311A106" w14:textId="30B7D2DD" w:rsidR="00C9455C" w:rsidRPr="000A3C5C" w:rsidRDefault="00DF41B0" w:rsidP="000A3C5C">
      <w:pPr>
        <w:pStyle w:val="ListParagraph"/>
        <w:numPr>
          <w:ilvl w:val="0"/>
          <w:numId w:val="172"/>
        </w:numPr>
        <w:spacing w:after="120"/>
        <w:jc w:val="both"/>
        <w:rPr>
          <w:bCs/>
        </w:rPr>
      </w:pPr>
      <w:r>
        <w:rPr>
          <w:b/>
          <w:bCs/>
        </w:rPr>
        <w:t>Other small underspend £</w:t>
      </w:r>
      <w:r w:rsidR="0075587A">
        <w:rPr>
          <w:b/>
          <w:bCs/>
        </w:rPr>
        <w:t>0.0</w:t>
      </w:r>
      <w:r>
        <w:rPr>
          <w:b/>
          <w:bCs/>
        </w:rPr>
        <w:t>10</w:t>
      </w:r>
      <w:r w:rsidR="0075587A">
        <w:rPr>
          <w:b/>
          <w:bCs/>
        </w:rPr>
        <w:t>m</w:t>
      </w:r>
      <w:r w:rsidR="00C9455C">
        <w:rPr>
          <w:b/>
          <w:bCs/>
        </w:rPr>
        <w:t>.</w:t>
      </w:r>
    </w:p>
    <w:p w14:paraId="2CD42941" w14:textId="6E664029" w:rsidR="00C9455C" w:rsidRDefault="00C9455C" w:rsidP="00C9455C">
      <w:pPr>
        <w:pStyle w:val="ListParagraph"/>
        <w:numPr>
          <w:ilvl w:val="0"/>
          <w:numId w:val="172"/>
        </w:numPr>
        <w:spacing w:after="120"/>
        <w:jc w:val="both"/>
        <w:rPr>
          <w:bCs/>
        </w:rPr>
      </w:pPr>
      <w:r w:rsidRPr="00C9455C">
        <w:rPr>
          <w:b/>
          <w:bCs/>
        </w:rPr>
        <w:t>Early Support Service under spend £</w:t>
      </w:r>
      <w:r w:rsidR="0075587A">
        <w:rPr>
          <w:b/>
          <w:bCs/>
        </w:rPr>
        <w:t>0.</w:t>
      </w:r>
      <w:r w:rsidRPr="00C9455C">
        <w:rPr>
          <w:b/>
          <w:bCs/>
        </w:rPr>
        <w:t>130</w:t>
      </w:r>
      <w:r w:rsidR="0075587A">
        <w:rPr>
          <w:b/>
          <w:bCs/>
        </w:rPr>
        <w:t>m</w:t>
      </w:r>
      <w:r w:rsidRPr="00C9455C">
        <w:rPr>
          <w:b/>
          <w:bCs/>
        </w:rPr>
        <w:t xml:space="preserve"> </w:t>
      </w:r>
    </w:p>
    <w:p w14:paraId="10DED340" w14:textId="77777777" w:rsidR="00DF41B0" w:rsidRDefault="009C2B2E" w:rsidP="000A3C5C">
      <w:pPr>
        <w:pStyle w:val="ListParagraph"/>
        <w:numPr>
          <w:ilvl w:val="0"/>
          <w:numId w:val="172"/>
        </w:numPr>
        <w:spacing w:after="120"/>
        <w:ind w:left="1418" w:hanging="284"/>
        <w:jc w:val="both"/>
        <w:rPr>
          <w:b/>
          <w:bCs/>
        </w:rPr>
      </w:pPr>
      <w:r w:rsidRPr="00DF41B0">
        <w:rPr>
          <w:bCs/>
        </w:rPr>
        <w:t>These pressures are partially offset by one off management actions totalling (£0.529m)</w:t>
      </w:r>
      <w:r w:rsidR="00DF41B0" w:rsidRPr="00DF41B0">
        <w:rPr>
          <w:bCs/>
        </w:rPr>
        <w:t>.</w:t>
      </w:r>
      <w:r w:rsidRPr="00DF41B0">
        <w:rPr>
          <w:b/>
          <w:bCs/>
        </w:rPr>
        <w:t xml:space="preserve"> </w:t>
      </w:r>
    </w:p>
    <w:p w14:paraId="612B05C0" w14:textId="37ECECCA" w:rsidR="00594B84" w:rsidRPr="000A3C5C" w:rsidRDefault="00594B84" w:rsidP="000A3C5C">
      <w:pPr>
        <w:pStyle w:val="ListParagraph"/>
        <w:spacing w:after="120"/>
        <w:ind w:left="1418"/>
        <w:jc w:val="both"/>
        <w:rPr>
          <w:b/>
          <w:bCs/>
        </w:rPr>
      </w:pPr>
    </w:p>
    <w:p w14:paraId="3F8438A5" w14:textId="77EDC108" w:rsidR="009C2B2E" w:rsidRPr="000A3C5C" w:rsidRDefault="009C2B2E" w:rsidP="000A3C5C">
      <w:pPr>
        <w:pStyle w:val="ListParagraph"/>
        <w:numPr>
          <w:ilvl w:val="1"/>
          <w:numId w:val="173"/>
        </w:numPr>
        <w:spacing w:after="120"/>
        <w:ind w:left="709" w:hanging="709"/>
        <w:jc w:val="both"/>
        <w:rPr>
          <w:b/>
          <w:bCs/>
        </w:rPr>
      </w:pPr>
      <w:r w:rsidRPr="00DA4367">
        <w:rPr>
          <w:b/>
          <w:bCs/>
        </w:rPr>
        <w:t>DEDICATED SCHOOLS GRANT (DSG</w:t>
      </w:r>
      <w:r>
        <w:rPr>
          <w:b/>
          <w:bCs/>
        </w:rPr>
        <w:t>)</w:t>
      </w:r>
    </w:p>
    <w:p w14:paraId="367E026F" w14:textId="79019DCA" w:rsidR="0053716D" w:rsidRDefault="0053716D">
      <w:pPr>
        <w:pStyle w:val="ListParagraph"/>
        <w:spacing w:after="120"/>
        <w:ind w:left="709"/>
        <w:jc w:val="both"/>
        <w:rPr>
          <w:bCs/>
        </w:rPr>
      </w:pPr>
      <w:r w:rsidRPr="000A2CF3">
        <w:rPr>
          <w:bCs/>
        </w:rPr>
        <w:t>The total notified DSG budget at Q3 is £135.374m. This is a reduction from the figure reported at Q2 of £1.116m as a result of the conversion of Earlsmead school to academy status. The EFA therefore recoups the funds from the LA to delegate to the academy directly</w:t>
      </w:r>
      <w:r>
        <w:rPr>
          <w:bCs/>
        </w:rPr>
        <w:t>.</w:t>
      </w:r>
    </w:p>
    <w:p w14:paraId="366FC5BC" w14:textId="1744D7C7" w:rsidR="0053716D" w:rsidRPr="000A2CF3" w:rsidRDefault="00182E76" w:rsidP="000A2CF3">
      <w:pPr>
        <w:spacing w:after="120"/>
        <w:jc w:val="both"/>
        <w:rPr>
          <w:b/>
          <w:bCs/>
        </w:rPr>
      </w:pPr>
      <w:r w:rsidRPr="000A2CF3">
        <w:rPr>
          <w:bCs/>
        </w:rPr>
        <w:t>2.1</w:t>
      </w:r>
      <w:r w:rsidR="00A343B2">
        <w:rPr>
          <w:bCs/>
        </w:rPr>
        <w:t>3</w:t>
      </w:r>
      <w:r>
        <w:rPr>
          <w:b/>
          <w:bCs/>
        </w:rPr>
        <w:tab/>
      </w:r>
      <w:r w:rsidR="0053716D" w:rsidRPr="000A2CF3">
        <w:rPr>
          <w:b/>
          <w:bCs/>
        </w:rPr>
        <w:t>Early Years Block</w:t>
      </w:r>
    </w:p>
    <w:p w14:paraId="2FD4B3B9" w14:textId="0B738178" w:rsidR="0053716D" w:rsidRDefault="00CC2689" w:rsidP="000A3C5C">
      <w:pPr>
        <w:pStyle w:val="ListParagraph"/>
        <w:spacing w:after="120"/>
        <w:ind w:left="709"/>
        <w:jc w:val="both"/>
        <w:rPr>
          <w:bCs/>
        </w:rPr>
      </w:pPr>
      <w:r>
        <w:rPr>
          <w:bCs/>
        </w:rPr>
        <w:t>In 2017/</w:t>
      </w:r>
      <w:r w:rsidR="0053716D" w:rsidRPr="000A2CF3">
        <w:rPr>
          <w:bCs/>
        </w:rPr>
        <w:t>18 the initial Early Years Block is £15.046m. This will be adjusted to take account of the January 2018 census for participating 2, 3</w:t>
      </w:r>
      <w:r w:rsidR="00905E10">
        <w:rPr>
          <w:bCs/>
        </w:rPr>
        <w:t xml:space="preserve"> </w:t>
      </w:r>
      <w:r w:rsidR="0053716D" w:rsidRPr="000A2CF3">
        <w:rPr>
          <w:bCs/>
        </w:rPr>
        <w:t>&amp;</w:t>
      </w:r>
      <w:r w:rsidR="00905E10">
        <w:rPr>
          <w:bCs/>
        </w:rPr>
        <w:t xml:space="preserve"> </w:t>
      </w:r>
      <w:r w:rsidR="0053716D" w:rsidRPr="000A2CF3">
        <w:rPr>
          <w:bCs/>
        </w:rPr>
        <w:t>4 year olds. The overall block is forecast to balance to budget</w:t>
      </w:r>
      <w:r w:rsidR="00EC54A2">
        <w:rPr>
          <w:bCs/>
        </w:rPr>
        <w:t>. H</w:t>
      </w:r>
      <w:r w:rsidR="0053716D" w:rsidRPr="000A2CF3">
        <w:rPr>
          <w:bCs/>
        </w:rPr>
        <w:t xml:space="preserve">owever there are a number of assumptions built into the forecast including take-up for the newly established SEN Inclusion Fund and </w:t>
      </w:r>
      <w:r w:rsidR="0053716D" w:rsidRPr="000A2CF3">
        <w:rPr>
          <w:bCs/>
        </w:rPr>
        <w:lastRenderedPageBreak/>
        <w:t>participation in the extension of the free entitlement for eligible 3&amp;4 year olds from 15 hours to 30 hours from September</w:t>
      </w:r>
      <w:r w:rsidR="0053716D">
        <w:rPr>
          <w:bCs/>
        </w:rPr>
        <w:t>.</w:t>
      </w:r>
    </w:p>
    <w:p w14:paraId="7208A8EB" w14:textId="77777777" w:rsidR="003A52A2" w:rsidRDefault="003A52A2" w:rsidP="000A3C5C">
      <w:pPr>
        <w:pStyle w:val="ListParagraph"/>
        <w:spacing w:after="120"/>
        <w:ind w:left="709"/>
        <w:jc w:val="both"/>
        <w:rPr>
          <w:bCs/>
        </w:rPr>
      </w:pPr>
    </w:p>
    <w:p w14:paraId="51453635" w14:textId="77777777" w:rsidR="003A52A2" w:rsidRDefault="003A52A2" w:rsidP="000A3C5C">
      <w:pPr>
        <w:pStyle w:val="ListParagraph"/>
        <w:spacing w:after="120"/>
        <w:ind w:left="709"/>
        <w:jc w:val="both"/>
        <w:rPr>
          <w:bCs/>
        </w:rPr>
      </w:pPr>
    </w:p>
    <w:p w14:paraId="63FDE812" w14:textId="4716B154" w:rsidR="0053716D" w:rsidRPr="000A2CF3" w:rsidRDefault="00182E76" w:rsidP="000A2CF3">
      <w:pPr>
        <w:spacing w:after="120"/>
        <w:jc w:val="both"/>
        <w:rPr>
          <w:b/>
          <w:bCs/>
        </w:rPr>
      </w:pPr>
      <w:r w:rsidRPr="000A2CF3">
        <w:rPr>
          <w:bCs/>
        </w:rPr>
        <w:t>2.1</w:t>
      </w:r>
      <w:r w:rsidR="00A343B2">
        <w:rPr>
          <w:bCs/>
        </w:rPr>
        <w:t>4</w:t>
      </w:r>
      <w:r>
        <w:rPr>
          <w:b/>
          <w:bCs/>
        </w:rPr>
        <w:tab/>
      </w:r>
      <w:r w:rsidR="0053716D" w:rsidRPr="000A2CF3">
        <w:rPr>
          <w:b/>
          <w:bCs/>
        </w:rPr>
        <w:t>High Needs Block</w:t>
      </w:r>
    </w:p>
    <w:p w14:paraId="583A768A" w14:textId="4C9DBAA8" w:rsidR="0053716D" w:rsidRDefault="0053716D" w:rsidP="000A3C5C">
      <w:pPr>
        <w:pStyle w:val="ListParagraph"/>
        <w:spacing w:after="120"/>
        <w:ind w:left="709"/>
        <w:jc w:val="both"/>
        <w:rPr>
          <w:bCs/>
        </w:rPr>
      </w:pPr>
      <w:r w:rsidRPr="0053716D">
        <w:rPr>
          <w:bCs/>
        </w:rPr>
        <w:t>The High Needs Block budget is £30.979m and is currently forecasting to overspend by £</w:t>
      </w:r>
      <w:r w:rsidR="0075587A">
        <w:rPr>
          <w:bCs/>
        </w:rPr>
        <w:t>0.0</w:t>
      </w:r>
      <w:r w:rsidRPr="0053716D">
        <w:rPr>
          <w:bCs/>
        </w:rPr>
        <w:t>45</w:t>
      </w:r>
      <w:r w:rsidR="0075587A">
        <w:rPr>
          <w:bCs/>
        </w:rPr>
        <w:t>m</w:t>
      </w:r>
      <w:r w:rsidRPr="0053716D">
        <w:rPr>
          <w:bCs/>
        </w:rPr>
        <w:t>. It is made up of a number of service areas covering staffing, funding to schools, academies, independent &amp; non maintained school sector and further education institutes and is considered to cover educational provision for young people aged 0-25 years in line with the SEND reforms</w:t>
      </w:r>
      <w:r>
        <w:rPr>
          <w:bCs/>
        </w:rPr>
        <w:t>.</w:t>
      </w:r>
    </w:p>
    <w:p w14:paraId="1B7EC177" w14:textId="5A0EA263" w:rsidR="0053716D" w:rsidRPr="000A2CF3" w:rsidRDefault="00182E76" w:rsidP="000A2CF3">
      <w:pPr>
        <w:spacing w:after="120"/>
        <w:jc w:val="both"/>
        <w:rPr>
          <w:b/>
          <w:bCs/>
        </w:rPr>
      </w:pPr>
      <w:r w:rsidRPr="000A2CF3">
        <w:rPr>
          <w:bCs/>
        </w:rPr>
        <w:t>2.</w:t>
      </w:r>
      <w:r w:rsidR="00084B02">
        <w:rPr>
          <w:bCs/>
        </w:rPr>
        <w:t>1</w:t>
      </w:r>
      <w:r w:rsidR="00A343B2">
        <w:rPr>
          <w:bCs/>
        </w:rPr>
        <w:t>5</w:t>
      </w:r>
      <w:r>
        <w:rPr>
          <w:b/>
          <w:bCs/>
        </w:rPr>
        <w:tab/>
      </w:r>
      <w:r w:rsidR="0053716D" w:rsidRPr="000A2CF3">
        <w:rPr>
          <w:b/>
          <w:bCs/>
        </w:rPr>
        <w:t>De-delegated and central budgets.</w:t>
      </w:r>
    </w:p>
    <w:p w14:paraId="401924F7" w14:textId="463A84DE" w:rsidR="0053716D" w:rsidRDefault="0053716D" w:rsidP="000A3C5C">
      <w:pPr>
        <w:pStyle w:val="ListParagraph"/>
        <w:spacing w:after="120"/>
        <w:ind w:left="709"/>
        <w:jc w:val="both"/>
        <w:rPr>
          <w:bCs/>
        </w:rPr>
      </w:pPr>
      <w:r w:rsidRPr="0053716D">
        <w:rPr>
          <w:bCs/>
        </w:rPr>
        <w:t>De-delegated and central budgets including Education Services Grant are forecast to balance to budget</w:t>
      </w:r>
      <w:r>
        <w:rPr>
          <w:bCs/>
        </w:rPr>
        <w:t>.</w:t>
      </w:r>
    </w:p>
    <w:p w14:paraId="130F1F90" w14:textId="7E788441" w:rsidR="0053716D" w:rsidRPr="000A2CF3" w:rsidRDefault="00182E76" w:rsidP="000A2CF3">
      <w:pPr>
        <w:spacing w:after="120"/>
        <w:jc w:val="both"/>
        <w:rPr>
          <w:b/>
          <w:bCs/>
        </w:rPr>
      </w:pPr>
      <w:r w:rsidRPr="000A2CF3">
        <w:rPr>
          <w:bCs/>
        </w:rPr>
        <w:t>2.</w:t>
      </w:r>
      <w:r w:rsidR="00A343B2">
        <w:rPr>
          <w:bCs/>
        </w:rPr>
        <w:t>16</w:t>
      </w:r>
      <w:r>
        <w:rPr>
          <w:b/>
          <w:bCs/>
        </w:rPr>
        <w:tab/>
      </w:r>
      <w:r w:rsidR="0053716D" w:rsidRPr="000A2CF3">
        <w:rPr>
          <w:b/>
          <w:bCs/>
        </w:rPr>
        <w:t>Growth Fund</w:t>
      </w:r>
    </w:p>
    <w:p w14:paraId="717B7E33" w14:textId="7076BF13" w:rsidR="0053716D" w:rsidRPr="000A2CF3" w:rsidRDefault="0053716D" w:rsidP="000A3C5C">
      <w:pPr>
        <w:pStyle w:val="ListParagraph"/>
        <w:spacing w:after="120"/>
        <w:ind w:left="709"/>
        <w:jc w:val="both"/>
        <w:rPr>
          <w:bCs/>
        </w:rPr>
      </w:pPr>
      <w:r w:rsidRPr="0053716D">
        <w:rPr>
          <w:bCs/>
        </w:rPr>
        <w:t>The growth fund has been primarily established for Additional Class Funding for planned increases in P</w:t>
      </w:r>
      <w:r w:rsidR="00B352D9">
        <w:rPr>
          <w:bCs/>
        </w:rPr>
        <w:t xml:space="preserve">lanned </w:t>
      </w:r>
      <w:r w:rsidRPr="0053716D">
        <w:rPr>
          <w:bCs/>
        </w:rPr>
        <w:t>A</w:t>
      </w:r>
      <w:r w:rsidR="00B352D9">
        <w:rPr>
          <w:bCs/>
        </w:rPr>
        <w:t xml:space="preserve">dmission </w:t>
      </w:r>
      <w:r w:rsidRPr="0053716D">
        <w:rPr>
          <w:bCs/>
        </w:rPr>
        <w:t>N</w:t>
      </w:r>
      <w:r w:rsidR="00B352D9">
        <w:rPr>
          <w:bCs/>
        </w:rPr>
        <w:t>umber (PAN)</w:t>
      </w:r>
      <w:r w:rsidRPr="0053716D">
        <w:rPr>
          <w:bCs/>
        </w:rPr>
        <w:t xml:space="preserve"> for the Primary Expansion Programme. In addition, funds have been added for expansion funding for schools extending the age range, in year bulge classes in the second year and funding for schools with varying rolls. At this time it is not anticipated that any additional bulge classes will be opened this financial year therefore these budgets have been released to cover an increase in NNDR costs due to revaluations of several schools in the schools expansion programme. Overall there is a balancing underspend of £</w:t>
      </w:r>
      <w:r w:rsidR="0075587A">
        <w:rPr>
          <w:bCs/>
        </w:rPr>
        <w:t>0.0</w:t>
      </w:r>
      <w:r w:rsidRPr="0053716D">
        <w:rPr>
          <w:bCs/>
        </w:rPr>
        <w:t>45</w:t>
      </w:r>
      <w:r w:rsidR="0075587A">
        <w:rPr>
          <w:bCs/>
        </w:rPr>
        <w:t>m</w:t>
      </w:r>
      <w:r w:rsidRPr="0053716D">
        <w:rPr>
          <w:bCs/>
        </w:rPr>
        <w:t xml:space="preserve"> to balance out the pressure on the HNB</w:t>
      </w:r>
      <w:r>
        <w:rPr>
          <w:bCs/>
        </w:rPr>
        <w:t>.</w:t>
      </w:r>
    </w:p>
    <w:p w14:paraId="6978FA66" w14:textId="77777777" w:rsidR="00594B84" w:rsidRPr="000A2CF3" w:rsidRDefault="00594B84" w:rsidP="000A2CF3">
      <w:pPr>
        <w:pStyle w:val="ListParagraph"/>
        <w:spacing w:after="120"/>
        <w:ind w:left="709"/>
        <w:jc w:val="both"/>
        <w:rPr>
          <w:bCs/>
        </w:rPr>
      </w:pPr>
    </w:p>
    <w:p w14:paraId="572D5879" w14:textId="70B464A4" w:rsidR="00F37451" w:rsidRPr="00C97D07" w:rsidRDefault="00F37451" w:rsidP="00E8374A">
      <w:pPr>
        <w:pStyle w:val="ListParagraph"/>
        <w:spacing w:after="120"/>
        <w:ind w:left="689"/>
        <w:jc w:val="both"/>
        <w:rPr>
          <w:b/>
          <w:bCs/>
          <w:u w:val="single"/>
        </w:rPr>
      </w:pPr>
      <w:r w:rsidRPr="00C97D07">
        <w:rPr>
          <w:b/>
          <w:bCs/>
          <w:u w:val="single"/>
        </w:rPr>
        <w:t>REGENERATION</w:t>
      </w:r>
      <w:r w:rsidR="00C97D07">
        <w:rPr>
          <w:b/>
          <w:bCs/>
          <w:u w:val="single"/>
        </w:rPr>
        <w:t>, ENTERPRISE AND PLANNING</w:t>
      </w:r>
    </w:p>
    <w:p w14:paraId="68BF8126" w14:textId="77777777" w:rsidR="00D85184" w:rsidRPr="00F37451" w:rsidRDefault="00D85184" w:rsidP="00F37451">
      <w:pPr>
        <w:pStyle w:val="ListParagraph"/>
        <w:ind w:left="689"/>
        <w:rPr>
          <w:bCs/>
        </w:rPr>
      </w:pPr>
    </w:p>
    <w:p w14:paraId="6862C31F" w14:textId="56110C71" w:rsidR="00905E10" w:rsidRDefault="00F37451" w:rsidP="000A3C5C">
      <w:pPr>
        <w:pStyle w:val="ListParagraph"/>
        <w:numPr>
          <w:ilvl w:val="0"/>
          <w:numId w:val="158"/>
        </w:numPr>
        <w:spacing w:after="120"/>
        <w:jc w:val="both"/>
        <w:rPr>
          <w:bCs/>
        </w:rPr>
      </w:pPr>
      <w:r w:rsidRPr="000A3C5C">
        <w:rPr>
          <w:bCs/>
        </w:rPr>
        <w:t xml:space="preserve">At </w:t>
      </w:r>
      <w:r w:rsidR="00D20D5B" w:rsidRPr="000A3C5C">
        <w:rPr>
          <w:bCs/>
        </w:rPr>
        <w:t>Quarter</w:t>
      </w:r>
      <w:r w:rsidRPr="000A3C5C">
        <w:rPr>
          <w:bCs/>
        </w:rPr>
        <w:t xml:space="preserve"> </w:t>
      </w:r>
      <w:r w:rsidR="002247FA" w:rsidRPr="000A3C5C">
        <w:rPr>
          <w:bCs/>
        </w:rPr>
        <w:t>3</w:t>
      </w:r>
      <w:r w:rsidRPr="000A3C5C">
        <w:rPr>
          <w:bCs/>
        </w:rPr>
        <w:t>, Regeneration, Enterprise &amp; Planning are reporting a balanced budget</w:t>
      </w:r>
      <w:r w:rsidR="00905E10" w:rsidRPr="000A3C5C">
        <w:rPr>
          <w:bCs/>
        </w:rPr>
        <w:t xml:space="preserve"> </w:t>
      </w:r>
      <w:r w:rsidR="0014629D" w:rsidRPr="000A3C5C">
        <w:rPr>
          <w:bCs/>
        </w:rPr>
        <w:t xml:space="preserve">which is </w:t>
      </w:r>
      <w:r w:rsidR="0014629D">
        <w:rPr>
          <w:bCs/>
        </w:rPr>
        <w:t>consistent</w:t>
      </w:r>
      <w:r w:rsidR="00905E10" w:rsidRPr="000A3C5C">
        <w:rPr>
          <w:bCs/>
        </w:rPr>
        <w:t xml:space="preserve"> </w:t>
      </w:r>
      <w:r w:rsidR="0014629D" w:rsidRPr="000A3C5C">
        <w:rPr>
          <w:bCs/>
        </w:rPr>
        <w:t>with Quarter</w:t>
      </w:r>
      <w:r w:rsidR="00905E10" w:rsidRPr="000A3C5C">
        <w:rPr>
          <w:bCs/>
        </w:rPr>
        <w:t xml:space="preserve"> 2 forecast.</w:t>
      </w:r>
    </w:p>
    <w:p w14:paraId="7D073EF8" w14:textId="67173F30" w:rsidR="00D85184" w:rsidRPr="000A3C5C" w:rsidRDefault="00905E10" w:rsidP="000A3C5C">
      <w:pPr>
        <w:pStyle w:val="ListParagraph"/>
        <w:numPr>
          <w:ilvl w:val="0"/>
          <w:numId w:val="158"/>
        </w:numPr>
        <w:spacing w:after="120"/>
        <w:jc w:val="both"/>
        <w:rPr>
          <w:bCs/>
        </w:rPr>
      </w:pPr>
      <w:r>
        <w:rPr>
          <w:bCs/>
        </w:rPr>
        <w:t>R</w:t>
      </w:r>
      <w:r w:rsidR="00F37451" w:rsidRPr="000A3C5C">
        <w:rPr>
          <w:bCs/>
        </w:rPr>
        <w:t>egeneration activity, estimated at £</w:t>
      </w:r>
      <w:r w:rsidR="0075587A">
        <w:rPr>
          <w:bCs/>
        </w:rPr>
        <w:t>0.</w:t>
      </w:r>
      <w:r w:rsidR="00F90729" w:rsidRPr="000A3C5C">
        <w:rPr>
          <w:bCs/>
        </w:rPr>
        <w:t>818</w:t>
      </w:r>
      <w:r w:rsidR="0075587A">
        <w:rPr>
          <w:bCs/>
        </w:rPr>
        <w:t>m</w:t>
      </w:r>
      <w:r w:rsidR="00F37451" w:rsidRPr="000A3C5C">
        <w:rPr>
          <w:bCs/>
        </w:rPr>
        <w:t>,</w:t>
      </w:r>
      <w:r w:rsidR="00F90729" w:rsidRPr="000A3C5C">
        <w:rPr>
          <w:bCs/>
        </w:rPr>
        <w:t xml:space="preserve"> </w:t>
      </w:r>
      <w:r w:rsidR="00F37451" w:rsidRPr="000A3C5C">
        <w:rPr>
          <w:bCs/>
        </w:rPr>
        <w:t>will be funded from the capacity</w:t>
      </w:r>
      <w:r w:rsidR="008D6DA6" w:rsidRPr="000A3C5C">
        <w:rPr>
          <w:bCs/>
        </w:rPr>
        <w:t xml:space="preserve"> already set aside</w:t>
      </w:r>
      <w:r w:rsidR="00F37451" w:rsidRPr="000A3C5C">
        <w:rPr>
          <w:bCs/>
        </w:rPr>
        <w:t>.</w:t>
      </w:r>
      <w:r w:rsidR="00F90729" w:rsidRPr="000A3C5C">
        <w:rPr>
          <w:bCs/>
        </w:rPr>
        <w:t xml:space="preserve"> </w:t>
      </w:r>
    </w:p>
    <w:p w14:paraId="18B8B33E" w14:textId="77777777" w:rsidR="005663CF" w:rsidRPr="006B70AF" w:rsidRDefault="005663CF" w:rsidP="005663CF">
      <w:pPr>
        <w:pStyle w:val="ListParagraph"/>
        <w:ind w:left="709"/>
        <w:jc w:val="both"/>
        <w:rPr>
          <w:bCs/>
        </w:rPr>
      </w:pPr>
    </w:p>
    <w:p w14:paraId="7569CCF1" w14:textId="337F1D45" w:rsidR="00F37451" w:rsidRDefault="008755A3" w:rsidP="000A2CF3">
      <w:pPr>
        <w:pStyle w:val="ListParagraph"/>
        <w:numPr>
          <w:ilvl w:val="0"/>
          <w:numId w:val="158"/>
        </w:numPr>
        <w:jc w:val="both"/>
        <w:rPr>
          <w:bCs/>
        </w:rPr>
      </w:pPr>
      <w:r w:rsidRPr="002247FA">
        <w:rPr>
          <w:bCs/>
        </w:rPr>
        <w:t>£</w:t>
      </w:r>
      <w:r w:rsidR="002247FA" w:rsidRPr="000A2CF3">
        <w:rPr>
          <w:bCs/>
        </w:rPr>
        <w:t>5.247</w:t>
      </w:r>
      <w:r w:rsidRPr="002247FA">
        <w:rPr>
          <w:bCs/>
        </w:rPr>
        <w:t>m [net] of C</w:t>
      </w:r>
      <w:r w:rsidR="00E33042" w:rsidRPr="002247FA">
        <w:rPr>
          <w:bCs/>
        </w:rPr>
        <w:t xml:space="preserve">ommunity Infrastructure </w:t>
      </w:r>
      <w:r w:rsidRPr="002247FA">
        <w:rPr>
          <w:bCs/>
        </w:rPr>
        <w:t>L</w:t>
      </w:r>
      <w:r w:rsidR="00E33042" w:rsidRPr="002247FA">
        <w:rPr>
          <w:bCs/>
        </w:rPr>
        <w:t>evy</w:t>
      </w:r>
      <w:r w:rsidR="005520B7">
        <w:rPr>
          <w:bCs/>
        </w:rPr>
        <w:t xml:space="preserve"> (CIL) and</w:t>
      </w:r>
      <w:r w:rsidR="00E33042" w:rsidRPr="002247FA">
        <w:rPr>
          <w:bCs/>
        </w:rPr>
        <w:t xml:space="preserve"> </w:t>
      </w:r>
      <w:r w:rsidRPr="002247FA">
        <w:rPr>
          <w:bCs/>
        </w:rPr>
        <w:t>S106 mon</w:t>
      </w:r>
      <w:r w:rsidR="00EC54A2">
        <w:rPr>
          <w:bCs/>
        </w:rPr>
        <w:t>ey</w:t>
      </w:r>
      <w:r w:rsidR="00666AFB" w:rsidRPr="002247FA">
        <w:rPr>
          <w:bCs/>
        </w:rPr>
        <w:t xml:space="preserve"> has been received at Quarter </w:t>
      </w:r>
      <w:r w:rsidR="002247FA" w:rsidRPr="000A2CF3">
        <w:rPr>
          <w:bCs/>
        </w:rPr>
        <w:t>3</w:t>
      </w:r>
      <w:r w:rsidRPr="002247FA">
        <w:rPr>
          <w:bCs/>
        </w:rPr>
        <w:t>.</w:t>
      </w:r>
      <w:r w:rsidRPr="008755A3">
        <w:rPr>
          <w:bCs/>
        </w:rPr>
        <w:t xml:space="preserve">  The net unspent income will be transferred to</w:t>
      </w:r>
      <w:r w:rsidR="00A659B7">
        <w:rPr>
          <w:bCs/>
        </w:rPr>
        <w:t xml:space="preserve"> CIL</w:t>
      </w:r>
      <w:r w:rsidRPr="008755A3">
        <w:rPr>
          <w:bCs/>
        </w:rPr>
        <w:t xml:space="preserve"> reserves at year end</w:t>
      </w:r>
      <w:r>
        <w:rPr>
          <w:bCs/>
        </w:rPr>
        <w:t>.</w:t>
      </w:r>
    </w:p>
    <w:p w14:paraId="45519705" w14:textId="77777777" w:rsidR="002247FA" w:rsidRPr="006A2A11" w:rsidRDefault="002247FA" w:rsidP="000A2CF3">
      <w:pPr>
        <w:pStyle w:val="ListParagraph"/>
        <w:ind w:left="1409"/>
        <w:jc w:val="both"/>
        <w:rPr>
          <w:bCs/>
        </w:rPr>
      </w:pPr>
    </w:p>
    <w:p w14:paraId="6AB538D1" w14:textId="0D3C5190" w:rsidR="002247FA" w:rsidRDefault="002247FA" w:rsidP="000A2CF3">
      <w:pPr>
        <w:pStyle w:val="ListParagraph"/>
        <w:numPr>
          <w:ilvl w:val="0"/>
          <w:numId w:val="158"/>
        </w:numPr>
        <w:jc w:val="both"/>
        <w:rPr>
          <w:bCs/>
        </w:rPr>
      </w:pPr>
      <w:r w:rsidRPr="002247FA">
        <w:rPr>
          <w:bCs/>
        </w:rPr>
        <w:t>Some salary and operating costs in Economic Development are assumed to be met from external funding, which is subject to a successful claim to ESF and the outcome of which will not be known until later part of the financial year</w:t>
      </w:r>
      <w:r>
        <w:rPr>
          <w:bCs/>
        </w:rPr>
        <w:t>.</w:t>
      </w:r>
    </w:p>
    <w:p w14:paraId="3E100BD6" w14:textId="4D70EF11" w:rsidR="00CF3C93" w:rsidRDefault="00CF3C93" w:rsidP="000A2CF3">
      <w:pPr>
        <w:pStyle w:val="ListParagraph"/>
      </w:pPr>
    </w:p>
    <w:p w14:paraId="045BA330" w14:textId="77777777" w:rsidR="00B352D9" w:rsidRDefault="00B352D9" w:rsidP="000A2CF3">
      <w:pPr>
        <w:pStyle w:val="ListParagraph"/>
      </w:pPr>
    </w:p>
    <w:p w14:paraId="53660BF2" w14:textId="77777777" w:rsidR="00CB01F5" w:rsidRDefault="00CB01F5" w:rsidP="000A2CF3">
      <w:pPr>
        <w:pStyle w:val="ListParagraph"/>
      </w:pPr>
    </w:p>
    <w:p w14:paraId="0CE52646" w14:textId="77777777" w:rsidR="00CB01F5" w:rsidRDefault="00CB01F5" w:rsidP="000A2CF3">
      <w:pPr>
        <w:pStyle w:val="ListParagraph"/>
      </w:pPr>
    </w:p>
    <w:p w14:paraId="4DF9F95C" w14:textId="77777777" w:rsidR="00CB01F5" w:rsidRDefault="00CB01F5" w:rsidP="000A2CF3">
      <w:pPr>
        <w:pStyle w:val="ListParagraph"/>
      </w:pPr>
    </w:p>
    <w:p w14:paraId="09E02587" w14:textId="77777777" w:rsidR="00CB01F5" w:rsidRDefault="00CB01F5" w:rsidP="000A2CF3">
      <w:pPr>
        <w:pStyle w:val="ListParagraph"/>
      </w:pPr>
    </w:p>
    <w:p w14:paraId="770C5D1E" w14:textId="77777777" w:rsidR="00CB01F5" w:rsidRDefault="00CB01F5" w:rsidP="000A2CF3">
      <w:pPr>
        <w:pStyle w:val="ListParagraph"/>
      </w:pPr>
    </w:p>
    <w:p w14:paraId="611FFAB5" w14:textId="77777777" w:rsidR="00CB01F5" w:rsidRPr="00745F53" w:rsidRDefault="00CB01F5" w:rsidP="000A2CF3">
      <w:pPr>
        <w:pStyle w:val="ListParagraph"/>
      </w:pPr>
    </w:p>
    <w:p w14:paraId="4CFB5BC2" w14:textId="580AAB45" w:rsidR="00A87D50" w:rsidRDefault="00A87D50" w:rsidP="007A5EAC">
      <w:pPr>
        <w:spacing w:after="120"/>
        <w:ind w:left="709"/>
        <w:jc w:val="both"/>
        <w:rPr>
          <w:b/>
          <w:bCs/>
          <w:u w:val="single"/>
        </w:rPr>
      </w:pPr>
      <w:r w:rsidRPr="00C97D07">
        <w:rPr>
          <w:b/>
          <w:bCs/>
          <w:u w:val="single"/>
        </w:rPr>
        <w:t>HOUSING REVENUE ACCOUNT</w:t>
      </w:r>
    </w:p>
    <w:p w14:paraId="186913CF" w14:textId="01E0031C" w:rsidR="00CC2689" w:rsidRDefault="00CC2689" w:rsidP="00CC2689">
      <w:pPr>
        <w:ind w:firstLine="720"/>
        <w:rPr>
          <w:b/>
          <w:u w:val="single"/>
        </w:rPr>
      </w:pPr>
      <w:r>
        <w:rPr>
          <w:b/>
          <w:u w:val="single"/>
        </w:rPr>
        <w:t xml:space="preserve">Table </w:t>
      </w:r>
      <w:r w:rsidR="00012D08">
        <w:rPr>
          <w:b/>
          <w:u w:val="single"/>
        </w:rPr>
        <w:t>6</w:t>
      </w:r>
      <w:r w:rsidRPr="00923BB3">
        <w:rPr>
          <w:b/>
          <w:u w:val="single"/>
        </w:rPr>
        <w:t>: HRA Variance</w:t>
      </w:r>
    </w:p>
    <w:p w14:paraId="1229B1A9" w14:textId="77777777" w:rsidR="00CC2689" w:rsidRPr="000839D1" w:rsidDel="000812B3" w:rsidRDefault="00CC2689" w:rsidP="00CC2689">
      <w:pPr>
        <w:rPr>
          <w:noProof/>
          <w:lang w:eastAsia="en-GB"/>
        </w:rPr>
      </w:pPr>
      <w:r w:rsidRPr="00CB1B58">
        <w:rPr>
          <w:b/>
        </w:rPr>
        <w:tab/>
      </w:r>
    </w:p>
    <w:tbl>
      <w:tblPr>
        <w:tblStyle w:val="TableGrid"/>
        <w:tblW w:w="4851" w:type="dxa"/>
        <w:tblInd w:w="786" w:type="dxa"/>
        <w:tblLayout w:type="fixed"/>
        <w:tblLook w:val="04A0" w:firstRow="1" w:lastRow="0" w:firstColumn="1" w:lastColumn="0" w:noHBand="0" w:noVBand="1"/>
      </w:tblPr>
      <w:tblGrid>
        <w:gridCol w:w="1322"/>
        <w:gridCol w:w="1291"/>
        <w:gridCol w:w="2238"/>
      </w:tblGrid>
      <w:tr w:rsidR="00CC2689" w:rsidRPr="000812B3" w14:paraId="462E97B4" w14:textId="77777777" w:rsidTr="000A2CF3">
        <w:trPr>
          <w:trHeight w:val="892"/>
        </w:trPr>
        <w:tc>
          <w:tcPr>
            <w:tcW w:w="1322" w:type="dxa"/>
          </w:tcPr>
          <w:p w14:paraId="6491627B" w14:textId="77777777" w:rsidR="00CC2689" w:rsidRPr="000812B3" w:rsidRDefault="00CC2689" w:rsidP="003418AB">
            <w:pPr>
              <w:jc w:val="center"/>
            </w:pPr>
            <w:r w:rsidRPr="000812B3">
              <w:t xml:space="preserve">Quarter </w:t>
            </w:r>
            <w:r>
              <w:t>3</w:t>
            </w:r>
          </w:p>
          <w:p w14:paraId="387BEA77" w14:textId="77777777" w:rsidR="00CC2689" w:rsidRPr="000812B3" w:rsidRDefault="00CC2689" w:rsidP="003418AB">
            <w:pPr>
              <w:jc w:val="center"/>
            </w:pPr>
            <w:r w:rsidRPr="000812B3">
              <w:t>Variance</w:t>
            </w:r>
          </w:p>
          <w:p w14:paraId="04DEB2A6" w14:textId="77777777" w:rsidR="00CC2689" w:rsidRPr="00CB1B58" w:rsidRDefault="00CC2689" w:rsidP="003418AB">
            <w:pPr>
              <w:jc w:val="center"/>
              <w:rPr>
                <w:u w:val="single"/>
              </w:rPr>
            </w:pPr>
            <w:r w:rsidRPr="000812B3">
              <w:t>£</w:t>
            </w:r>
            <w:r>
              <w:t>’</w:t>
            </w:r>
            <w:r w:rsidRPr="000812B3">
              <w:t>000</w:t>
            </w:r>
          </w:p>
        </w:tc>
        <w:tc>
          <w:tcPr>
            <w:tcW w:w="1291" w:type="dxa"/>
          </w:tcPr>
          <w:p w14:paraId="6E782E7E" w14:textId="77777777" w:rsidR="00CC2689" w:rsidRDefault="00CC2689" w:rsidP="003418AB">
            <w:pPr>
              <w:jc w:val="center"/>
            </w:pPr>
            <w:r w:rsidRPr="000812B3">
              <w:t xml:space="preserve">Quarter </w:t>
            </w:r>
            <w:r>
              <w:t>2</w:t>
            </w:r>
            <w:r w:rsidRPr="000812B3">
              <w:t xml:space="preserve"> Variance</w:t>
            </w:r>
          </w:p>
          <w:p w14:paraId="139C8DB7" w14:textId="77777777" w:rsidR="00CC2689" w:rsidRPr="00CB1B58" w:rsidRDefault="00CC2689" w:rsidP="003418AB">
            <w:pPr>
              <w:jc w:val="center"/>
              <w:rPr>
                <w:u w:val="single"/>
              </w:rPr>
            </w:pPr>
            <w:r>
              <w:t>£’000</w:t>
            </w:r>
          </w:p>
        </w:tc>
        <w:tc>
          <w:tcPr>
            <w:tcW w:w="2238" w:type="dxa"/>
          </w:tcPr>
          <w:p w14:paraId="77F55535" w14:textId="77777777" w:rsidR="00CC2689" w:rsidRDefault="00CC2689" w:rsidP="003418AB">
            <w:r w:rsidRPr="000812B3">
              <w:t xml:space="preserve">Movement between Quarter </w:t>
            </w:r>
            <w:r>
              <w:t xml:space="preserve">3 </w:t>
            </w:r>
            <w:r w:rsidRPr="000812B3">
              <w:t xml:space="preserve">and Quarter </w:t>
            </w:r>
            <w:r>
              <w:t>2</w:t>
            </w:r>
            <w:r w:rsidRPr="000812B3">
              <w:t xml:space="preserve"> </w:t>
            </w:r>
          </w:p>
          <w:p w14:paraId="19D2C725" w14:textId="77777777" w:rsidR="00CC2689" w:rsidRPr="00CB1B58" w:rsidRDefault="00CC2689" w:rsidP="003418AB">
            <w:pPr>
              <w:rPr>
                <w:u w:val="single"/>
              </w:rPr>
            </w:pPr>
            <w:r>
              <w:t>£’000</w:t>
            </w:r>
          </w:p>
        </w:tc>
      </w:tr>
      <w:tr w:rsidR="00CC2689" w:rsidRPr="000812B3" w14:paraId="244B4073" w14:textId="77777777" w:rsidTr="000A2CF3">
        <w:trPr>
          <w:trHeight w:val="195"/>
        </w:trPr>
        <w:tc>
          <w:tcPr>
            <w:tcW w:w="1322" w:type="dxa"/>
          </w:tcPr>
          <w:p w14:paraId="047EB640" w14:textId="77777777" w:rsidR="00CC2689" w:rsidRPr="00CB1B58" w:rsidRDefault="00CC2689" w:rsidP="003418AB">
            <w:r>
              <w:t>(870)</w:t>
            </w:r>
          </w:p>
        </w:tc>
        <w:tc>
          <w:tcPr>
            <w:tcW w:w="1291" w:type="dxa"/>
          </w:tcPr>
          <w:p w14:paraId="0C227145" w14:textId="77777777" w:rsidR="00CC2689" w:rsidRPr="00CB1B58" w:rsidRDefault="00CC2689" w:rsidP="003418AB">
            <w:r>
              <w:t>(837)</w:t>
            </w:r>
          </w:p>
        </w:tc>
        <w:tc>
          <w:tcPr>
            <w:tcW w:w="2238" w:type="dxa"/>
          </w:tcPr>
          <w:p w14:paraId="20602A80" w14:textId="77777777" w:rsidR="00CC2689" w:rsidRPr="00CB1B58" w:rsidRDefault="00CC2689" w:rsidP="003418AB">
            <w:r>
              <w:t>(3</w:t>
            </w:r>
            <w:r w:rsidRPr="00CB1B58">
              <w:t>3</w:t>
            </w:r>
            <w:r>
              <w:t>)</w:t>
            </w:r>
          </w:p>
        </w:tc>
      </w:tr>
      <w:tr w:rsidR="00CB01F5" w:rsidRPr="000812B3" w14:paraId="62226616" w14:textId="77777777" w:rsidTr="000A2CF3">
        <w:trPr>
          <w:trHeight w:val="195"/>
        </w:trPr>
        <w:tc>
          <w:tcPr>
            <w:tcW w:w="1322" w:type="dxa"/>
          </w:tcPr>
          <w:p w14:paraId="4027A6F7" w14:textId="77777777" w:rsidR="00CB01F5" w:rsidRDefault="00CB01F5" w:rsidP="003418AB"/>
        </w:tc>
        <w:tc>
          <w:tcPr>
            <w:tcW w:w="1291" w:type="dxa"/>
          </w:tcPr>
          <w:p w14:paraId="4C3D3157" w14:textId="77777777" w:rsidR="00CB01F5" w:rsidRDefault="00CB01F5" w:rsidP="003418AB"/>
        </w:tc>
        <w:tc>
          <w:tcPr>
            <w:tcW w:w="2238" w:type="dxa"/>
          </w:tcPr>
          <w:p w14:paraId="629AA7C0" w14:textId="77777777" w:rsidR="00CB01F5" w:rsidRDefault="00CB01F5" w:rsidP="003418AB"/>
        </w:tc>
      </w:tr>
    </w:tbl>
    <w:p w14:paraId="2F66ABE1" w14:textId="1DFDFB59" w:rsidR="00A343B2" w:rsidRPr="000C69EC" w:rsidRDefault="00A343B2" w:rsidP="000A3C5C">
      <w:pPr>
        <w:pStyle w:val="ListParagraph"/>
        <w:spacing w:after="120"/>
        <w:ind w:left="749"/>
        <w:jc w:val="both"/>
        <w:rPr>
          <w:bCs/>
        </w:rPr>
      </w:pPr>
    </w:p>
    <w:p w14:paraId="53FAA2F7" w14:textId="312F7645" w:rsidR="00A343B2" w:rsidRPr="001912B3" w:rsidRDefault="00A343B2">
      <w:pPr>
        <w:pStyle w:val="ListParagraph"/>
        <w:numPr>
          <w:ilvl w:val="1"/>
          <w:numId w:val="55"/>
        </w:numPr>
        <w:spacing w:after="120"/>
        <w:ind w:hanging="749"/>
        <w:jc w:val="both"/>
        <w:rPr>
          <w:bCs/>
        </w:rPr>
      </w:pPr>
      <w:r w:rsidRPr="00A343B2">
        <w:rPr>
          <w:bCs/>
        </w:rPr>
        <w:t>As at Quarter 3 there is a forecast capacity of (£</w:t>
      </w:r>
      <w:r w:rsidR="0075587A">
        <w:rPr>
          <w:bCs/>
        </w:rPr>
        <w:t>0.</w:t>
      </w:r>
      <w:r w:rsidRPr="00A343B2">
        <w:rPr>
          <w:bCs/>
        </w:rPr>
        <w:t>870</w:t>
      </w:r>
      <w:r w:rsidR="0075587A">
        <w:rPr>
          <w:bCs/>
        </w:rPr>
        <w:t>m</w:t>
      </w:r>
      <w:r w:rsidRPr="00A343B2">
        <w:rPr>
          <w:bCs/>
        </w:rPr>
        <w:t>) in the HRA, an improvement against quarter 2 of (£</w:t>
      </w:r>
      <w:r w:rsidR="0075587A">
        <w:rPr>
          <w:bCs/>
        </w:rPr>
        <w:t>0.0</w:t>
      </w:r>
      <w:r w:rsidRPr="00A343B2">
        <w:rPr>
          <w:bCs/>
        </w:rPr>
        <w:t>33</w:t>
      </w:r>
      <w:r w:rsidR="0075587A">
        <w:rPr>
          <w:bCs/>
        </w:rPr>
        <w:t>m</w:t>
      </w:r>
      <w:r>
        <w:rPr>
          <w:bCs/>
        </w:rPr>
        <w:t>)</w:t>
      </w:r>
    </w:p>
    <w:p w14:paraId="1890B726" w14:textId="55158FDA" w:rsidR="00022EDA" w:rsidRPr="00A45F6E" w:rsidRDefault="00CC2689">
      <w:pPr>
        <w:pStyle w:val="ListParagraph"/>
        <w:numPr>
          <w:ilvl w:val="1"/>
          <w:numId w:val="55"/>
        </w:numPr>
        <w:spacing w:after="120"/>
        <w:ind w:hanging="749"/>
        <w:jc w:val="both"/>
        <w:rPr>
          <w:bCs/>
        </w:rPr>
      </w:pPr>
      <w:r w:rsidRPr="00CC2689">
        <w:t>A summary of the HRA position is provided below which includes   estimated balances</w:t>
      </w:r>
    </w:p>
    <w:p w14:paraId="79CAB619" w14:textId="27A9EC9A" w:rsidR="00A53BFE" w:rsidRPr="00022EDA" w:rsidRDefault="004039DE" w:rsidP="000A2CF3">
      <w:pPr>
        <w:pStyle w:val="ListParagraph"/>
        <w:numPr>
          <w:ilvl w:val="0"/>
          <w:numId w:val="157"/>
        </w:numPr>
        <w:spacing w:after="120"/>
        <w:jc w:val="both"/>
        <w:rPr>
          <w:bCs/>
        </w:rPr>
      </w:pPr>
      <w:r>
        <w:t>Included in the forecast position of (£</w:t>
      </w:r>
      <w:r w:rsidR="0075587A">
        <w:t>0.</w:t>
      </w:r>
      <w:r>
        <w:t>87</w:t>
      </w:r>
      <w:r w:rsidR="002247FA">
        <w:t>0</w:t>
      </w:r>
      <w:r w:rsidR="0075587A">
        <w:t>m</w:t>
      </w:r>
      <w:r>
        <w:t xml:space="preserve">) is the </w:t>
      </w:r>
      <w:r w:rsidR="00A53BFE" w:rsidRPr="00022EDA">
        <w:t>£</w:t>
      </w:r>
      <w:r w:rsidR="0075587A">
        <w:t>0.</w:t>
      </w:r>
      <w:r w:rsidR="00A53BFE" w:rsidRPr="00022EDA">
        <w:t>200</w:t>
      </w:r>
      <w:r w:rsidR="0075587A">
        <w:t>m</w:t>
      </w:r>
      <w:r w:rsidR="00A53BFE" w:rsidRPr="00022EDA">
        <w:t xml:space="preserve"> interest payments to </w:t>
      </w:r>
      <w:r>
        <w:t xml:space="preserve">the </w:t>
      </w:r>
      <w:r w:rsidR="00A53BFE" w:rsidRPr="00022EDA">
        <w:t>D</w:t>
      </w:r>
      <w:r w:rsidR="00E33042" w:rsidRPr="00022EDA">
        <w:t xml:space="preserve">epartment for </w:t>
      </w:r>
      <w:r w:rsidR="00A53BFE" w:rsidRPr="00022EDA">
        <w:t>C</w:t>
      </w:r>
      <w:r w:rsidR="00E33042" w:rsidRPr="00022EDA">
        <w:t xml:space="preserve">ommunity and </w:t>
      </w:r>
      <w:r w:rsidR="00A53BFE" w:rsidRPr="00022EDA">
        <w:t>L</w:t>
      </w:r>
      <w:r w:rsidR="00E33042" w:rsidRPr="00022EDA">
        <w:t xml:space="preserve">ocal </w:t>
      </w:r>
      <w:r w:rsidR="00A53BFE" w:rsidRPr="00022EDA">
        <w:t>G</w:t>
      </w:r>
      <w:r w:rsidR="00E33042" w:rsidRPr="00022EDA">
        <w:t>over</w:t>
      </w:r>
      <w:r w:rsidR="00F92234" w:rsidRPr="00022EDA">
        <w:t>n</w:t>
      </w:r>
      <w:r w:rsidR="00E33042" w:rsidRPr="00022EDA">
        <w:t>ment</w:t>
      </w:r>
      <w:r w:rsidR="00A53BFE" w:rsidRPr="00022EDA">
        <w:t xml:space="preserve"> on retained Right to Buy receipts expected to be repaid to Government under terms of the retention </w:t>
      </w:r>
      <w:r w:rsidR="005A6DF0" w:rsidRPr="00022EDA">
        <w:t>agreement.</w:t>
      </w:r>
    </w:p>
    <w:p w14:paraId="7FDE338A" w14:textId="77777777" w:rsidR="004039DE" w:rsidRPr="000B0B9B" w:rsidRDefault="00B40A0E" w:rsidP="000A2CF3">
      <w:pPr>
        <w:pStyle w:val="ListParagraph"/>
        <w:numPr>
          <w:ilvl w:val="0"/>
          <w:numId w:val="157"/>
        </w:numPr>
        <w:spacing w:after="120"/>
        <w:jc w:val="both"/>
        <w:rPr>
          <w:bCs/>
        </w:rPr>
      </w:pPr>
      <w:r w:rsidRPr="00022EDA">
        <w:t>The c</w:t>
      </w:r>
      <w:r w:rsidR="00A87D50" w:rsidRPr="00022EDA">
        <w:t xml:space="preserve">osts of compulsory upgrade of IT systems have been reflected although additional pressures in this area </w:t>
      </w:r>
      <w:r w:rsidRPr="00022EDA">
        <w:t xml:space="preserve">are </w:t>
      </w:r>
      <w:r w:rsidR="005A6DF0" w:rsidRPr="00022EDA">
        <w:t>possible;</w:t>
      </w:r>
      <w:r w:rsidR="00A87D50" w:rsidRPr="00022EDA">
        <w:t xml:space="preserve"> </w:t>
      </w:r>
      <w:r w:rsidRPr="00022EDA">
        <w:t xml:space="preserve">an </w:t>
      </w:r>
      <w:r w:rsidR="00A87D50" w:rsidRPr="00022EDA">
        <w:t xml:space="preserve">impact assessment </w:t>
      </w:r>
      <w:r w:rsidRPr="00022EDA">
        <w:t xml:space="preserve">is </w:t>
      </w:r>
      <w:r w:rsidR="00A87D50" w:rsidRPr="00022EDA">
        <w:t xml:space="preserve">in progress. </w:t>
      </w:r>
    </w:p>
    <w:p w14:paraId="3B614223" w14:textId="29EC13DE" w:rsidR="00AD4DC5" w:rsidRPr="001912B3" w:rsidRDefault="00A87D50" w:rsidP="000A2CF3">
      <w:pPr>
        <w:pStyle w:val="ListParagraph"/>
        <w:numPr>
          <w:ilvl w:val="0"/>
          <w:numId w:val="157"/>
        </w:numPr>
        <w:spacing w:after="120"/>
        <w:jc w:val="both"/>
      </w:pPr>
      <w:r w:rsidRPr="00022EDA">
        <w:t>Reforms of HRA and Welfare, including rent reduction, borrowing cap and high value voids levy from 2018</w:t>
      </w:r>
      <w:r w:rsidR="00CC2689">
        <w:t>/</w:t>
      </w:r>
      <w:r w:rsidRPr="00022EDA">
        <w:t xml:space="preserve">19 continue to present significant challenges which are being addressed by </w:t>
      </w:r>
      <w:r w:rsidR="00B40A0E" w:rsidRPr="00022EDA">
        <w:t xml:space="preserve">the </w:t>
      </w:r>
      <w:r w:rsidRPr="00022EDA">
        <w:t>Housing Management Team.</w:t>
      </w:r>
    </w:p>
    <w:p w14:paraId="39F08BB5" w14:textId="77777777" w:rsidR="009D392C" w:rsidRDefault="009D392C" w:rsidP="00BB0A57">
      <w:pPr>
        <w:ind w:firstLine="720"/>
        <w:rPr>
          <w:b/>
          <w:u w:val="single"/>
        </w:rPr>
      </w:pPr>
    </w:p>
    <w:p w14:paraId="002F9C3B" w14:textId="77777777" w:rsidR="00C97D07" w:rsidRPr="00923BB3" w:rsidRDefault="00C97D07" w:rsidP="00333BD7">
      <w:pPr>
        <w:rPr>
          <w:b/>
          <w:u w:val="single"/>
        </w:rPr>
      </w:pPr>
    </w:p>
    <w:p w14:paraId="67C89C5B" w14:textId="578FAE3A" w:rsidR="00333BD7" w:rsidRPr="00C97D07" w:rsidRDefault="00FF61D4" w:rsidP="007A5EAC">
      <w:pPr>
        <w:pStyle w:val="ListParagraph"/>
        <w:spacing w:after="120"/>
        <w:ind w:left="567"/>
        <w:rPr>
          <w:b/>
          <w:bCs/>
          <w:u w:val="single"/>
        </w:rPr>
      </w:pPr>
      <w:r>
        <w:rPr>
          <w:b/>
          <w:bCs/>
        </w:rPr>
        <w:t xml:space="preserve">  </w:t>
      </w:r>
      <w:r w:rsidR="00333BD7" w:rsidRPr="00C97D07">
        <w:rPr>
          <w:b/>
          <w:bCs/>
          <w:u w:val="single"/>
        </w:rPr>
        <w:t>CORPORATE BUDGETS</w:t>
      </w:r>
    </w:p>
    <w:p w14:paraId="0A11AD95" w14:textId="754C1560" w:rsidR="00333BD7" w:rsidRPr="000B0B9B" w:rsidRDefault="00333BD7" w:rsidP="000A2CF3">
      <w:pPr>
        <w:pStyle w:val="ListParagraph"/>
        <w:numPr>
          <w:ilvl w:val="1"/>
          <w:numId w:val="73"/>
        </w:numPr>
        <w:spacing w:after="120"/>
        <w:ind w:left="709" w:hanging="709"/>
        <w:jc w:val="both"/>
        <w:rPr>
          <w:bCs/>
        </w:rPr>
      </w:pPr>
      <w:r w:rsidRPr="00333BD7">
        <w:t>Corporate budgets are forecast to underspend by (£</w:t>
      </w:r>
      <w:r w:rsidR="00B024AC">
        <w:t>3.310</w:t>
      </w:r>
      <w:r w:rsidRPr="00333BD7">
        <w:t xml:space="preserve">m). This </w:t>
      </w:r>
      <w:r>
        <w:t>underspend</w:t>
      </w:r>
      <w:r w:rsidRPr="00333BD7">
        <w:t xml:space="preserve"> include</w:t>
      </w:r>
      <w:r>
        <w:t>s</w:t>
      </w:r>
      <w:r w:rsidRPr="00333BD7">
        <w:t xml:space="preserve"> unallocated inflation budgets, other contingencies and grants</w:t>
      </w:r>
      <w:r>
        <w:t>.</w:t>
      </w:r>
      <w:r w:rsidR="00A23F65">
        <w:t xml:space="preserve"> The council </w:t>
      </w:r>
      <w:r w:rsidR="00AC66C5">
        <w:t xml:space="preserve">has also </w:t>
      </w:r>
      <w:r w:rsidR="00A53BFE" w:rsidRPr="00A53BFE">
        <w:t>receive</w:t>
      </w:r>
      <w:r w:rsidR="00AC66C5">
        <w:t>d</w:t>
      </w:r>
      <w:r w:rsidR="000C4E78">
        <w:t xml:space="preserve"> </w:t>
      </w:r>
      <w:r w:rsidR="00A53BFE" w:rsidRPr="00A53BFE">
        <w:t>one off income of (£</w:t>
      </w:r>
      <w:r w:rsidR="0075587A">
        <w:t>0.</w:t>
      </w:r>
      <w:r w:rsidR="00A53BFE" w:rsidRPr="00A53BFE">
        <w:t>834</w:t>
      </w:r>
      <w:r w:rsidR="0075587A">
        <w:t>m</w:t>
      </w:r>
      <w:r w:rsidR="00A53BFE" w:rsidRPr="00A53BFE">
        <w:t xml:space="preserve">) </w:t>
      </w:r>
      <w:r w:rsidR="00AC66C5">
        <w:t>after the budget was set in February</w:t>
      </w:r>
      <w:r w:rsidR="00F92234">
        <w:t xml:space="preserve"> 2017</w:t>
      </w:r>
      <w:r w:rsidR="00AC66C5">
        <w:t>.</w:t>
      </w:r>
    </w:p>
    <w:p w14:paraId="08C0DB51" w14:textId="77777777" w:rsidR="00CF3C93" w:rsidRPr="005163C5" w:rsidRDefault="00CF3C93" w:rsidP="00146A7B">
      <w:pPr>
        <w:pStyle w:val="ListParagraph"/>
        <w:spacing w:after="120"/>
        <w:ind w:left="709"/>
        <w:jc w:val="both"/>
        <w:rPr>
          <w:bCs/>
        </w:rPr>
      </w:pPr>
    </w:p>
    <w:p w14:paraId="474FC3D5" w14:textId="2F99F806" w:rsidR="005A6DF0" w:rsidRPr="00404B4F" w:rsidRDefault="005A6DF0" w:rsidP="00404B4F">
      <w:pPr>
        <w:spacing w:after="120"/>
        <w:ind w:firstLine="709"/>
        <w:jc w:val="both"/>
        <w:rPr>
          <w:b/>
          <w:bCs/>
          <w:i/>
        </w:rPr>
      </w:pPr>
      <w:r w:rsidRPr="00404B4F">
        <w:rPr>
          <w:b/>
          <w:bCs/>
          <w:i/>
        </w:rPr>
        <w:t>SPENDING CONTROL FREEZE</w:t>
      </w:r>
    </w:p>
    <w:p w14:paraId="29D03B9D" w14:textId="47ECE723" w:rsidR="003E0B7C" w:rsidRDefault="005A6DF0">
      <w:pPr>
        <w:pStyle w:val="ListParagraph"/>
        <w:numPr>
          <w:ilvl w:val="1"/>
          <w:numId w:val="76"/>
        </w:numPr>
        <w:spacing w:after="120"/>
        <w:ind w:left="709" w:hanging="709"/>
        <w:jc w:val="both"/>
        <w:rPr>
          <w:bCs/>
        </w:rPr>
      </w:pPr>
      <w:r>
        <w:rPr>
          <w:bCs/>
        </w:rPr>
        <w:t xml:space="preserve">In </w:t>
      </w:r>
      <w:r w:rsidR="00CC2689">
        <w:rPr>
          <w:bCs/>
        </w:rPr>
        <w:t>Month</w:t>
      </w:r>
      <w:r w:rsidR="00961657">
        <w:rPr>
          <w:bCs/>
        </w:rPr>
        <w:t xml:space="preserve"> </w:t>
      </w:r>
      <w:r w:rsidRPr="005A6DF0">
        <w:rPr>
          <w:bCs/>
        </w:rPr>
        <w:t xml:space="preserve">2, a balanced position was reported after </w:t>
      </w:r>
      <w:r w:rsidR="00934BDE">
        <w:rPr>
          <w:bCs/>
        </w:rPr>
        <w:t xml:space="preserve">proposing </w:t>
      </w:r>
      <w:r w:rsidR="00F92234">
        <w:rPr>
          <w:bCs/>
        </w:rPr>
        <w:t>a £</w:t>
      </w:r>
      <w:r w:rsidR="00AC66C5">
        <w:rPr>
          <w:bCs/>
        </w:rPr>
        <w:t>1.5m spending control and Spending F</w:t>
      </w:r>
      <w:r w:rsidRPr="005A6DF0">
        <w:rPr>
          <w:bCs/>
        </w:rPr>
        <w:t xml:space="preserve">reeze </w:t>
      </w:r>
      <w:r w:rsidR="003E0B7C" w:rsidRPr="005A6DF0">
        <w:rPr>
          <w:bCs/>
        </w:rPr>
        <w:t>contribution across</w:t>
      </w:r>
      <w:r w:rsidRPr="005A6DF0">
        <w:rPr>
          <w:bCs/>
        </w:rPr>
        <w:t xml:space="preserve"> the </w:t>
      </w:r>
      <w:r w:rsidR="00F92234">
        <w:rPr>
          <w:bCs/>
        </w:rPr>
        <w:t>D</w:t>
      </w:r>
      <w:r w:rsidRPr="005A6DF0">
        <w:rPr>
          <w:bCs/>
        </w:rPr>
        <w:t>irectorate</w:t>
      </w:r>
      <w:r w:rsidR="00F92234">
        <w:rPr>
          <w:bCs/>
        </w:rPr>
        <w:t>s</w:t>
      </w:r>
      <w:r w:rsidRPr="005A6DF0">
        <w:rPr>
          <w:bCs/>
        </w:rPr>
        <w:t>.</w:t>
      </w:r>
    </w:p>
    <w:p w14:paraId="2603570B" w14:textId="2FE0744B" w:rsidR="000C4E78" w:rsidRDefault="00934BDE">
      <w:pPr>
        <w:pStyle w:val="ListParagraph"/>
        <w:numPr>
          <w:ilvl w:val="1"/>
          <w:numId w:val="50"/>
        </w:numPr>
        <w:spacing w:after="120"/>
        <w:ind w:left="709" w:hanging="709"/>
        <w:jc w:val="both"/>
        <w:rPr>
          <w:bCs/>
        </w:rPr>
      </w:pPr>
      <w:r w:rsidRPr="000C4E78">
        <w:rPr>
          <w:bCs/>
        </w:rPr>
        <w:t>F</w:t>
      </w:r>
      <w:r w:rsidR="005A6DF0" w:rsidRPr="000C4E78">
        <w:rPr>
          <w:bCs/>
        </w:rPr>
        <w:t xml:space="preserve">urther work </w:t>
      </w:r>
      <w:r w:rsidR="002247FA">
        <w:rPr>
          <w:bCs/>
        </w:rPr>
        <w:t>was</w:t>
      </w:r>
      <w:r w:rsidR="005A6DF0" w:rsidRPr="000C4E78">
        <w:rPr>
          <w:bCs/>
        </w:rPr>
        <w:t xml:space="preserve"> done </w:t>
      </w:r>
      <w:r w:rsidRPr="000C4E78">
        <w:rPr>
          <w:bCs/>
        </w:rPr>
        <w:t xml:space="preserve">on this </w:t>
      </w:r>
      <w:r w:rsidR="00E8374A" w:rsidRPr="000C4E78">
        <w:rPr>
          <w:bCs/>
        </w:rPr>
        <w:t>proposal</w:t>
      </w:r>
      <w:r w:rsidR="002247FA">
        <w:rPr>
          <w:bCs/>
        </w:rPr>
        <w:t xml:space="preserve"> in Q2 and</w:t>
      </w:r>
      <w:r w:rsidRPr="000C4E78">
        <w:rPr>
          <w:bCs/>
        </w:rPr>
        <w:t xml:space="preserve"> </w:t>
      </w:r>
      <w:r w:rsidR="003E0B7C" w:rsidRPr="000C4E78">
        <w:rPr>
          <w:bCs/>
        </w:rPr>
        <w:t xml:space="preserve">a total of </w:t>
      </w:r>
      <w:r w:rsidR="006C2029" w:rsidRPr="000C4E78">
        <w:rPr>
          <w:bCs/>
        </w:rPr>
        <w:t>(</w:t>
      </w:r>
      <w:r w:rsidR="003E0B7C" w:rsidRPr="000C4E78">
        <w:rPr>
          <w:bCs/>
        </w:rPr>
        <w:t>£1.</w:t>
      </w:r>
      <w:r w:rsidR="00CF462D" w:rsidRPr="000C4E78">
        <w:rPr>
          <w:bCs/>
        </w:rPr>
        <w:t>325</w:t>
      </w:r>
      <w:r w:rsidR="005A6DF0" w:rsidRPr="000C4E78">
        <w:rPr>
          <w:bCs/>
        </w:rPr>
        <w:t>m</w:t>
      </w:r>
      <w:r w:rsidR="006C2029" w:rsidRPr="000C4E78">
        <w:rPr>
          <w:bCs/>
        </w:rPr>
        <w:t>)</w:t>
      </w:r>
      <w:r w:rsidR="005A6DF0" w:rsidRPr="000C4E78">
        <w:rPr>
          <w:bCs/>
        </w:rPr>
        <w:t xml:space="preserve"> </w:t>
      </w:r>
      <w:r w:rsidR="00EC54A2">
        <w:rPr>
          <w:bCs/>
        </w:rPr>
        <w:t>h</w:t>
      </w:r>
      <w:r w:rsidR="005A6DF0" w:rsidRPr="000C4E78">
        <w:rPr>
          <w:bCs/>
        </w:rPr>
        <w:t>a</w:t>
      </w:r>
      <w:r w:rsidR="00F92234" w:rsidRPr="000C4E78">
        <w:rPr>
          <w:bCs/>
        </w:rPr>
        <w:t>s</w:t>
      </w:r>
      <w:r w:rsidR="005A6DF0" w:rsidRPr="000C4E78">
        <w:rPr>
          <w:bCs/>
        </w:rPr>
        <w:t xml:space="preserve"> been identified</w:t>
      </w:r>
      <w:r w:rsidR="008B4ED0" w:rsidRPr="000C4E78">
        <w:rPr>
          <w:bCs/>
        </w:rPr>
        <w:t xml:space="preserve"> </w:t>
      </w:r>
      <w:r w:rsidRPr="000C4E78">
        <w:rPr>
          <w:bCs/>
        </w:rPr>
        <w:t>across the directorate</w:t>
      </w:r>
      <w:r w:rsidR="00F92234" w:rsidRPr="000C4E78">
        <w:rPr>
          <w:bCs/>
        </w:rPr>
        <w:t>s</w:t>
      </w:r>
      <w:r w:rsidRPr="000C4E78">
        <w:rPr>
          <w:bCs/>
        </w:rPr>
        <w:t xml:space="preserve"> </w:t>
      </w:r>
      <w:r w:rsidR="005A6DF0" w:rsidRPr="000C4E78">
        <w:rPr>
          <w:bCs/>
        </w:rPr>
        <w:t>as the amount that</w:t>
      </w:r>
      <w:r w:rsidRPr="000C4E78">
        <w:rPr>
          <w:bCs/>
        </w:rPr>
        <w:t xml:space="preserve"> </w:t>
      </w:r>
      <w:r w:rsidR="005A6DF0" w:rsidRPr="000C4E78">
        <w:rPr>
          <w:bCs/>
        </w:rPr>
        <w:t>directorate</w:t>
      </w:r>
      <w:r w:rsidR="008B4ED0" w:rsidRPr="000C4E78">
        <w:rPr>
          <w:bCs/>
        </w:rPr>
        <w:t>s</w:t>
      </w:r>
      <w:r w:rsidR="005A6DF0" w:rsidRPr="000C4E78">
        <w:rPr>
          <w:bCs/>
        </w:rPr>
        <w:t xml:space="preserve"> are able to contribute towards the spending control</w:t>
      </w:r>
      <w:r w:rsidR="00D63B83" w:rsidRPr="000C4E78">
        <w:rPr>
          <w:bCs/>
        </w:rPr>
        <w:t>s</w:t>
      </w:r>
      <w:r w:rsidR="000C4E78" w:rsidRPr="000C4E78">
        <w:rPr>
          <w:bCs/>
        </w:rPr>
        <w:t>.</w:t>
      </w:r>
      <w:r w:rsidR="00BE11F6">
        <w:rPr>
          <w:bCs/>
        </w:rPr>
        <w:t xml:space="preserve"> At</w:t>
      </w:r>
      <w:r w:rsidR="002247FA">
        <w:rPr>
          <w:bCs/>
        </w:rPr>
        <w:t xml:space="preserve"> Q3 the (£1.325m) </w:t>
      </w:r>
      <w:r w:rsidR="004B6426">
        <w:rPr>
          <w:bCs/>
        </w:rPr>
        <w:t>has now been revised down</w:t>
      </w:r>
      <w:r w:rsidR="00BE11F6">
        <w:rPr>
          <w:bCs/>
        </w:rPr>
        <w:t xml:space="preserve"> slightly</w:t>
      </w:r>
      <w:r w:rsidR="004B6426">
        <w:rPr>
          <w:bCs/>
        </w:rPr>
        <w:t xml:space="preserve"> to (£1.295m) due to budget pressure within the Housing division.</w:t>
      </w:r>
    </w:p>
    <w:p w14:paraId="4D6A0705" w14:textId="06531DC0" w:rsidR="005A6DF0" w:rsidRPr="000D08C3" w:rsidRDefault="00754A97">
      <w:pPr>
        <w:pStyle w:val="ListParagraph"/>
        <w:numPr>
          <w:ilvl w:val="1"/>
          <w:numId w:val="143"/>
        </w:numPr>
        <w:spacing w:after="120"/>
        <w:ind w:left="709" w:hanging="993"/>
        <w:jc w:val="both"/>
        <w:rPr>
          <w:bCs/>
        </w:rPr>
      </w:pPr>
      <w:r w:rsidRPr="006A2A11">
        <w:rPr>
          <w:bCs/>
        </w:rPr>
        <w:t>T</w:t>
      </w:r>
      <w:r w:rsidR="00A23F65" w:rsidRPr="00AC14C2">
        <w:rPr>
          <w:bCs/>
        </w:rPr>
        <w:t xml:space="preserve">able </w:t>
      </w:r>
      <w:r w:rsidR="008F112F">
        <w:rPr>
          <w:bCs/>
        </w:rPr>
        <w:t>8</w:t>
      </w:r>
      <w:r w:rsidRPr="00CC2689">
        <w:rPr>
          <w:bCs/>
        </w:rPr>
        <w:t xml:space="preserve"> </w:t>
      </w:r>
      <w:r w:rsidR="00A23F65" w:rsidRPr="001912B3">
        <w:rPr>
          <w:bCs/>
        </w:rPr>
        <w:t xml:space="preserve">below </w:t>
      </w:r>
      <w:r w:rsidRPr="00E222D0">
        <w:rPr>
          <w:bCs/>
        </w:rPr>
        <w:t xml:space="preserve">shows the </w:t>
      </w:r>
      <w:r w:rsidR="00A23F65" w:rsidRPr="00072265">
        <w:rPr>
          <w:bCs/>
        </w:rPr>
        <w:t xml:space="preserve">breakdown of </w:t>
      </w:r>
      <w:r w:rsidR="00CF462D" w:rsidRPr="00F71A10">
        <w:rPr>
          <w:bCs/>
        </w:rPr>
        <w:t xml:space="preserve">the </w:t>
      </w:r>
      <w:r w:rsidR="00B62583">
        <w:rPr>
          <w:bCs/>
        </w:rPr>
        <w:t>(</w:t>
      </w:r>
      <w:r w:rsidR="00CF462D" w:rsidRPr="00EC704C">
        <w:rPr>
          <w:bCs/>
        </w:rPr>
        <w:t>£1.</w:t>
      </w:r>
      <w:r w:rsidR="004B6426" w:rsidRPr="000D08C3">
        <w:rPr>
          <w:bCs/>
        </w:rPr>
        <w:t>295</w:t>
      </w:r>
      <w:r w:rsidR="00A23F65" w:rsidRPr="00E222D0">
        <w:rPr>
          <w:bCs/>
        </w:rPr>
        <w:t>m</w:t>
      </w:r>
      <w:r w:rsidR="00B62583">
        <w:rPr>
          <w:bCs/>
        </w:rPr>
        <w:t>)</w:t>
      </w:r>
      <w:r w:rsidR="00A23F65" w:rsidRPr="00EC704C">
        <w:rPr>
          <w:bCs/>
        </w:rPr>
        <w:t xml:space="preserve"> by directorate. </w:t>
      </w:r>
    </w:p>
    <w:p w14:paraId="3591CE42" w14:textId="77777777" w:rsidR="00CB01F5" w:rsidRDefault="00CB01F5" w:rsidP="00BB0A57">
      <w:pPr>
        <w:pStyle w:val="ListParagraph"/>
        <w:spacing w:after="120"/>
        <w:ind w:left="709"/>
        <w:jc w:val="both"/>
        <w:rPr>
          <w:b/>
          <w:bCs/>
          <w:u w:val="single"/>
        </w:rPr>
      </w:pPr>
    </w:p>
    <w:p w14:paraId="753F948C" w14:textId="77777777" w:rsidR="001E32A4" w:rsidRDefault="001E32A4" w:rsidP="00BB0A57">
      <w:pPr>
        <w:pStyle w:val="ListParagraph"/>
        <w:spacing w:after="120"/>
        <w:ind w:left="709"/>
        <w:jc w:val="both"/>
        <w:rPr>
          <w:b/>
          <w:bCs/>
          <w:u w:val="single"/>
        </w:rPr>
      </w:pPr>
    </w:p>
    <w:p w14:paraId="6CA04FAD" w14:textId="224D9F76" w:rsidR="00CF462D" w:rsidRPr="00404B4F" w:rsidRDefault="00A23F65" w:rsidP="00BB0A57">
      <w:pPr>
        <w:pStyle w:val="ListParagraph"/>
        <w:spacing w:after="120"/>
        <w:ind w:left="709"/>
        <w:jc w:val="both"/>
        <w:rPr>
          <w:b/>
          <w:bCs/>
          <w:u w:val="single"/>
        </w:rPr>
      </w:pPr>
      <w:r w:rsidRPr="00404B4F">
        <w:rPr>
          <w:b/>
          <w:bCs/>
          <w:u w:val="single"/>
        </w:rPr>
        <w:t xml:space="preserve">Table </w:t>
      </w:r>
      <w:r w:rsidR="00012D08">
        <w:rPr>
          <w:b/>
          <w:bCs/>
          <w:u w:val="single"/>
        </w:rPr>
        <w:t>7</w:t>
      </w:r>
      <w:r w:rsidR="00AC0A97" w:rsidRPr="00404B4F">
        <w:rPr>
          <w:b/>
          <w:bCs/>
          <w:u w:val="single"/>
        </w:rPr>
        <w:t>:</w:t>
      </w:r>
      <w:r w:rsidR="00CF462D" w:rsidRPr="00404B4F">
        <w:rPr>
          <w:b/>
          <w:bCs/>
          <w:u w:val="single"/>
        </w:rPr>
        <w:t xml:space="preserve"> Spending Control Freeze</w:t>
      </w:r>
    </w:p>
    <w:p w14:paraId="533BD3C9" w14:textId="1AA71BA3" w:rsidR="00CF462D" w:rsidRPr="00BB0A57" w:rsidRDefault="00B610A7" w:rsidP="00BB0A57">
      <w:pPr>
        <w:pStyle w:val="ListParagraph"/>
        <w:spacing w:after="120"/>
        <w:ind w:left="709"/>
        <w:jc w:val="both"/>
        <w:rPr>
          <w:bCs/>
          <w:u w:val="single"/>
        </w:rPr>
      </w:pPr>
      <w:r w:rsidRPr="00B610A7">
        <w:rPr>
          <w:noProof/>
          <w:lang w:eastAsia="en-GB"/>
        </w:rPr>
        <w:drawing>
          <wp:inline distT="0" distB="0" distL="0" distR="0" wp14:anchorId="4F22CF11" wp14:editId="21DE1B4A">
            <wp:extent cx="4861560" cy="25755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0364" cy="2580224"/>
                    </a:xfrm>
                    <a:prstGeom prst="rect">
                      <a:avLst/>
                    </a:prstGeom>
                    <a:noFill/>
                    <a:ln>
                      <a:noFill/>
                    </a:ln>
                  </pic:spPr>
                </pic:pic>
              </a:graphicData>
            </a:graphic>
          </wp:inline>
        </w:drawing>
      </w:r>
    </w:p>
    <w:p w14:paraId="16930A68" w14:textId="77777777" w:rsidR="00900E12" w:rsidRDefault="009F4A02" w:rsidP="000A2CF3">
      <w:pPr>
        <w:rPr>
          <w:b/>
        </w:rPr>
      </w:pPr>
      <w:r w:rsidRPr="00CB1B58">
        <w:rPr>
          <w:b/>
        </w:rPr>
        <w:tab/>
      </w:r>
    </w:p>
    <w:p w14:paraId="76EAD78E" w14:textId="2202FAB2" w:rsidR="00A23F65" w:rsidRDefault="009F4A02" w:rsidP="000A3C5C">
      <w:pPr>
        <w:ind w:firstLine="709"/>
        <w:rPr>
          <w:b/>
          <w:u w:val="single"/>
        </w:rPr>
      </w:pPr>
      <w:r w:rsidRPr="00CB1B58">
        <w:rPr>
          <w:b/>
          <w:u w:val="single"/>
        </w:rPr>
        <w:t>CAPITAL FLEXIBILITY</w:t>
      </w:r>
    </w:p>
    <w:p w14:paraId="78155751" w14:textId="77777777" w:rsidR="00A9141E" w:rsidRPr="00CB1B58" w:rsidRDefault="00A9141E" w:rsidP="00BB0A57">
      <w:pPr>
        <w:rPr>
          <w:b/>
          <w:u w:val="single"/>
        </w:rPr>
      </w:pPr>
    </w:p>
    <w:p w14:paraId="438DFEB7" w14:textId="6E55CAA3" w:rsidR="00B610A7" w:rsidRPr="000A2CF3" w:rsidRDefault="009F4A02">
      <w:pPr>
        <w:pStyle w:val="ListParagraph"/>
        <w:numPr>
          <w:ilvl w:val="1"/>
          <w:numId w:val="144"/>
        </w:numPr>
        <w:spacing w:after="120"/>
        <w:ind w:left="709" w:hanging="709"/>
        <w:jc w:val="both"/>
        <w:rPr>
          <w:u w:val="single"/>
        </w:rPr>
      </w:pPr>
      <w:r>
        <w:t xml:space="preserve">Included in the </w:t>
      </w:r>
      <w:r w:rsidR="000B334B">
        <w:t xml:space="preserve">forecast </w:t>
      </w:r>
      <w:r>
        <w:t>balanced position</w:t>
      </w:r>
      <w:r w:rsidR="00851D8F">
        <w:t xml:space="preserve"> that is been reported at Q</w:t>
      </w:r>
      <w:r w:rsidR="00A9141E">
        <w:t xml:space="preserve">uarter </w:t>
      </w:r>
      <w:r w:rsidR="004B6426">
        <w:t>3</w:t>
      </w:r>
      <w:r>
        <w:t xml:space="preserve"> is </w:t>
      </w:r>
      <w:r w:rsidR="000B334B">
        <w:t xml:space="preserve">the </w:t>
      </w:r>
      <w:r w:rsidR="00A9141E">
        <w:t xml:space="preserve">use of </w:t>
      </w:r>
      <w:r w:rsidR="000B334B">
        <w:t xml:space="preserve">£3.093m fund realised from assets disposal under the capital </w:t>
      </w:r>
      <w:r w:rsidR="00A9141E">
        <w:t xml:space="preserve">receipts </w:t>
      </w:r>
      <w:r w:rsidR="000B334B">
        <w:t>flexibility</w:t>
      </w:r>
      <w:r w:rsidR="00B7719A">
        <w:t xml:space="preserve"> (CRF)</w:t>
      </w:r>
      <w:r w:rsidR="000B334B">
        <w:t xml:space="preserve"> scheme that was introduced </w:t>
      </w:r>
      <w:r w:rsidR="00A9141E">
        <w:t xml:space="preserve">by the central government </w:t>
      </w:r>
      <w:r w:rsidR="000B334B">
        <w:t xml:space="preserve">in 2016/17. </w:t>
      </w:r>
    </w:p>
    <w:p w14:paraId="3A6E49F6" w14:textId="77777777" w:rsidR="003A52A2" w:rsidRDefault="003A52A2" w:rsidP="009F4A02">
      <w:pPr>
        <w:pStyle w:val="Heading4"/>
        <w:spacing w:after="240"/>
        <w:ind w:left="709"/>
        <w:jc w:val="both"/>
        <w:rPr>
          <w:u w:val="single"/>
        </w:rPr>
      </w:pPr>
    </w:p>
    <w:p w14:paraId="6EE20F2C" w14:textId="77777777" w:rsidR="009F4A02" w:rsidRPr="00404B4F" w:rsidRDefault="009F4A02" w:rsidP="009F4A02">
      <w:pPr>
        <w:pStyle w:val="Heading4"/>
        <w:spacing w:after="240"/>
        <w:ind w:left="709"/>
        <w:jc w:val="both"/>
        <w:rPr>
          <w:u w:val="single"/>
        </w:rPr>
      </w:pPr>
      <w:r w:rsidRPr="00404B4F">
        <w:rPr>
          <w:u w:val="single"/>
        </w:rPr>
        <w:t>CONTINGENCIES AND RESERVES</w:t>
      </w:r>
    </w:p>
    <w:p w14:paraId="46256582" w14:textId="0E6D47D6" w:rsidR="004B6426" w:rsidRDefault="00333BD7" w:rsidP="000A2CF3">
      <w:pPr>
        <w:pStyle w:val="ListParagraph"/>
        <w:numPr>
          <w:ilvl w:val="1"/>
          <w:numId w:val="144"/>
        </w:numPr>
        <w:spacing w:after="120"/>
        <w:ind w:left="709" w:hanging="709"/>
        <w:jc w:val="both"/>
        <w:rPr>
          <w:bCs/>
        </w:rPr>
      </w:pPr>
      <w:r w:rsidRPr="00333BD7">
        <w:rPr>
          <w:bCs/>
        </w:rPr>
        <w:t xml:space="preserve">The contingencies exist to cover unavoidable pressures together with other unforeseen items and spending pressures and to cover areas </w:t>
      </w:r>
      <w:r w:rsidR="000C72A8">
        <w:rPr>
          <w:bCs/>
        </w:rPr>
        <w:t xml:space="preserve">such as </w:t>
      </w:r>
      <w:bookmarkStart w:id="1" w:name="LastEdit"/>
      <w:bookmarkEnd w:id="1"/>
      <w:r w:rsidRPr="00333BD7">
        <w:rPr>
          <w:bCs/>
        </w:rPr>
        <w:t xml:space="preserve"> risk</w:t>
      </w:r>
      <w:r w:rsidR="000C72A8">
        <w:rPr>
          <w:bCs/>
        </w:rPr>
        <w:t xml:space="preserve">, health and safety, equality impacts </w:t>
      </w:r>
      <w:r w:rsidRPr="00333BD7">
        <w:rPr>
          <w:bCs/>
        </w:rPr>
        <w:t xml:space="preserve"> and uncertainty.</w:t>
      </w:r>
    </w:p>
    <w:p w14:paraId="07EAB3B9" w14:textId="6DFE52F1" w:rsidR="00093438" w:rsidRDefault="004B6426" w:rsidP="000A2CF3">
      <w:pPr>
        <w:pStyle w:val="ListParagraph"/>
        <w:numPr>
          <w:ilvl w:val="1"/>
          <w:numId w:val="144"/>
        </w:numPr>
        <w:spacing w:after="120"/>
        <w:ind w:left="709" w:hanging="709"/>
        <w:jc w:val="both"/>
        <w:rPr>
          <w:bCs/>
        </w:rPr>
      </w:pPr>
      <w:r w:rsidRPr="004B6426">
        <w:rPr>
          <w:bCs/>
        </w:rPr>
        <w:t>The contingency for u</w:t>
      </w:r>
      <w:r w:rsidR="00CC2689">
        <w:rPr>
          <w:bCs/>
        </w:rPr>
        <w:t>nforeseen items of £1.248m has been</w:t>
      </w:r>
      <w:r w:rsidRPr="004B6426">
        <w:rPr>
          <w:bCs/>
        </w:rPr>
        <w:t xml:space="preserve"> used in full for Pinner Wood School</w:t>
      </w:r>
      <w:r>
        <w:rPr>
          <w:bCs/>
        </w:rPr>
        <w:t>.</w:t>
      </w:r>
      <w:r w:rsidR="00333BD7" w:rsidRPr="00333BD7">
        <w:rPr>
          <w:bCs/>
        </w:rPr>
        <w:t xml:space="preserve">  </w:t>
      </w:r>
    </w:p>
    <w:p w14:paraId="516364FA" w14:textId="16EB3648" w:rsidR="006C2029" w:rsidRPr="00404B4F" w:rsidRDefault="00333BD7" w:rsidP="000A2CF3">
      <w:pPr>
        <w:pStyle w:val="ListParagraph"/>
        <w:numPr>
          <w:ilvl w:val="1"/>
          <w:numId w:val="144"/>
        </w:numPr>
        <w:spacing w:after="120"/>
        <w:ind w:left="709" w:hanging="709"/>
        <w:jc w:val="both"/>
        <w:rPr>
          <w:b/>
          <w:u w:val="single"/>
        </w:rPr>
      </w:pPr>
      <w:r w:rsidRPr="00E07305">
        <w:t xml:space="preserve">There are also a number of </w:t>
      </w:r>
      <w:r w:rsidR="00CC2689">
        <w:t>earmarked</w:t>
      </w:r>
      <w:r w:rsidRPr="00E07305">
        <w:t xml:space="preserve"> reserves for a variety of purposes as identified in table </w:t>
      </w:r>
      <w:r w:rsidR="00012D08">
        <w:t>8</w:t>
      </w:r>
      <w:r w:rsidRPr="00E07305">
        <w:t xml:space="preserve"> below</w:t>
      </w:r>
      <w:r w:rsidR="00D63B83">
        <w:t>:</w:t>
      </w:r>
    </w:p>
    <w:p w14:paraId="61506B17" w14:textId="77777777" w:rsidR="0053716D" w:rsidRDefault="0053716D" w:rsidP="007A5EAC">
      <w:pPr>
        <w:ind w:left="567"/>
        <w:jc w:val="both"/>
        <w:rPr>
          <w:b/>
          <w:u w:val="single"/>
        </w:rPr>
      </w:pPr>
    </w:p>
    <w:p w14:paraId="0543ED2A" w14:textId="588E1569" w:rsidR="00333BD7" w:rsidRDefault="00333BD7" w:rsidP="007A5EAC">
      <w:pPr>
        <w:ind w:left="567"/>
        <w:jc w:val="both"/>
        <w:rPr>
          <w:b/>
          <w:u w:val="single"/>
        </w:rPr>
      </w:pPr>
      <w:r w:rsidRPr="00DA28B8">
        <w:rPr>
          <w:b/>
          <w:u w:val="single"/>
        </w:rPr>
        <w:t xml:space="preserve">Table </w:t>
      </w:r>
      <w:r w:rsidR="00012D08">
        <w:rPr>
          <w:b/>
          <w:u w:val="single"/>
        </w:rPr>
        <w:t>8</w:t>
      </w:r>
      <w:r w:rsidR="00AC0A97">
        <w:rPr>
          <w:b/>
          <w:u w:val="single"/>
        </w:rPr>
        <w:t>:</w:t>
      </w:r>
      <w:r w:rsidRPr="00DA28B8">
        <w:rPr>
          <w:b/>
          <w:u w:val="single"/>
        </w:rPr>
        <w:t xml:space="preserve"> Contingencies and Earmarked Reserves</w:t>
      </w:r>
    </w:p>
    <w:p w14:paraId="5DAD87F8" w14:textId="66B9391B" w:rsidR="002849EC" w:rsidRDefault="002F300F" w:rsidP="007A5EAC">
      <w:pPr>
        <w:ind w:left="567"/>
        <w:jc w:val="both"/>
        <w:rPr>
          <w:noProof/>
          <w:lang w:eastAsia="en-GB"/>
        </w:rPr>
      </w:pPr>
      <w:r w:rsidRPr="002F300F">
        <w:rPr>
          <w:noProof/>
          <w:lang w:eastAsia="en-GB"/>
        </w:rPr>
        <w:lastRenderedPageBreak/>
        <w:drawing>
          <wp:inline distT="0" distB="0" distL="0" distR="0" wp14:anchorId="1CA558CD" wp14:editId="52085EC7">
            <wp:extent cx="5219700" cy="2506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9700" cy="2506980"/>
                    </a:xfrm>
                    <a:prstGeom prst="rect">
                      <a:avLst/>
                    </a:prstGeom>
                    <a:noFill/>
                    <a:ln>
                      <a:noFill/>
                    </a:ln>
                  </pic:spPr>
                </pic:pic>
              </a:graphicData>
            </a:graphic>
          </wp:inline>
        </w:drawing>
      </w:r>
    </w:p>
    <w:p w14:paraId="3BF1419A" w14:textId="68913854" w:rsidR="00A53BFE" w:rsidRPr="00BB0A57" w:rsidRDefault="00D04B31" w:rsidP="00BB0A57">
      <w:pPr>
        <w:pStyle w:val="ListParagraph"/>
        <w:spacing w:after="120"/>
        <w:ind w:left="142" w:firstLine="425"/>
        <w:jc w:val="both"/>
        <w:rPr>
          <w:b/>
          <w:bCs/>
          <w:u w:val="single"/>
        </w:rPr>
      </w:pPr>
      <w:r w:rsidRPr="00D04B31" w:rsidDel="00D04B31">
        <w:t xml:space="preserve"> </w:t>
      </w:r>
      <w:r w:rsidR="00A53BFE" w:rsidRPr="00BB0A57">
        <w:rPr>
          <w:b/>
          <w:bCs/>
          <w:u w:val="single"/>
        </w:rPr>
        <w:t>MTFS IMPLEMENTATION TRACKER</w:t>
      </w:r>
    </w:p>
    <w:p w14:paraId="338DDDA2" w14:textId="53970E3F" w:rsidR="000A32C8" w:rsidRDefault="00A53BFE">
      <w:pPr>
        <w:pStyle w:val="ListParagraph"/>
        <w:numPr>
          <w:ilvl w:val="1"/>
          <w:numId w:val="104"/>
        </w:numPr>
        <w:spacing w:after="120"/>
        <w:ind w:hanging="749"/>
        <w:jc w:val="both"/>
        <w:rPr>
          <w:bCs/>
        </w:rPr>
      </w:pPr>
      <w:r w:rsidRPr="0091766E">
        <w:rPr>
          <w:bCs/>
        </w:rPr>
        <w:t xml:space="preserve">The 2017/18 budget includes approved MTFS savings of £10.242m.  </w:t>
      </w:r>
      <w:r w:rsidR="00386BF3">
        <w:rPr>
          <w:bCs/>
        </w:rPr>
        <w:t xml:space="preserve">  </w:t>
      </w:r>
      <w:r w:rsidRPr="0091766E">
        <w:rPr>
          <w:bCs/>
        </w:rPr>
        <w:t>The progress on impleme</w:t>
      </w:r>
      <w:r w:rsidR="00A23F65" w:rsidRPr="00CB1B58">
        <w:rPr>
          <w:bCs/>
        </w:rPr>
        <w:t xml:space="preserve">ntation is summarised in table </w:t>
      </w:r>
      <w:r w:rsidR="00012D08">
        <w:rPr>
          <w:bCs/>
        </w:rPr>
        <w:t>9</w:t>
      </w:r>
      <w:r w:rsidRPr="00CB1B58">
        <w:rPr>
          <w:bCs/>
        </w:rPr>
        <w:t xml:space="preserve"> below and sh</w:t>
      </w:r>
      <w:r w:rsidR="00A23F65" w:rsidRPr="00CB1B58">
        <w:rPr>
          <w:bCs/>
        </w:rPr>
        <w:t>own in more detail in Appendix 2</w:t>
      </w:r>
      <w:r w:rsidRPr="00CB1B58">
        <w:rPr>
          <w:bCs/>
        </w:rPr>
        <w:t>.</w:t>
      </w:r>
    </w:p>
    <w:p w14:paraId="2BDBE986" w14:textId="60D35676" w:rsidR="006550F5" w:rsidRPr="00AC14C2" w:rsidRDefault="000A32C8" w:rsidP="00CB1B58">
      <w:pPr>
        <w:pStyle w:val="ListParagraph"/>
        <w:numPr>
          <w:ilvl w:val="1"/>
          <w:numId w:val="104"/>
        </w:numPr>
        <w:spacing w:after="120"/>
        <w:ind w:hanging="749"/>
        <w:jc w:val="both"/>
        <w:rPr>
          <w:bCs/>
        </w:rPr>
      </w:pPr>
      <w:r w:rsidRPr="000A32C8">
        <w:rPr>
          <w:bCs/>
        </w:rPr>
        <w:t xml:space="preserve">As at the end of Quarter </w:t>
      </w:r>
      <w:r w:rsidR="00093438">
        <w:rPr>
          <w:bCs/>
        </w:rPr>
        <w:t>3</w:t>
      </w:r>
      <w:r w:rsidRPr="000A32C8">
        <w:rPr>
          <w:bCs/>
        </w:rPr>
        <w:t>, 13% of savings have already been banked (blue savings), 71% of savings (green and amber) are on track or partially achieved, with 16% of savings being declared as red</w:t>
      </w:r>
      <w:r>
        <w:rPr>
          <w:bCs/>
        </w:rPr>
        <w:t>.</w:t>
      </w:r>
      <w:r w:rsidR="006550F5" w:rsidRPr="006550F5">
        <w:t xml:space="preserve"> </w:t>
      </w:r>
      <w:r w:rsidR="006A2A11" w:rsidRPr="00A343B2">
        <w:t>There are no changes to the savings tracker between Q3 and Q2</w:t>
      </w:r>
      <w:r w:rsidR="00A343B2">
        <w:t>.</w:t>
      </w:r>
    </w:p>
    <w:p w14:paraId="2C3866E7" w14:textId="77777777" w:rsidR="00012E47" w:rsidRDefault="00012E47" w:rsidP="000A3C5C">
      <w:pPr>
        <w:pStyle w:val="ListParagraph"/>
        <w:spacing w:after="120"/>
        <w:jc w:val="both"/>
      </w:pPr>
    </w:p>
    <w:p w14:paraId="0457A83E" w14:textId="271CB752" w:rsidR="00BF447F" w:rsidRDefault="00F71A10" w:rsidP="000A3C5C">
      <w:pPr>
        <w:pStyle w:val="ListParagraph"/>
        <w:spacing w:after="120"/>
        <w:jc w:val="both"/>
        <w:rPr>
          <w:b/>
          <w:bCs/>
          <w:u w:val="single"/>
        </w:rPr>
      </w:pPr>
      <w:r>
        <w:rPr>
          <w:b/>
          <w:bCs/>
          <w:u w:val="single"/>
        </w:rPr>
        <w:t xml:space="preserve">Table </w:t>
      </w:r>
      <w:r w:rsidR="00012D08">
        <w:rPr>
          <w:b/>
          <w:bCs/>
          <w:u w:val="single"/>
        </w:rPr>
        <w:t>9</w:t>
      </w:r>
      <w:r>
        <w:rPr>
          <w:b/>
          <w:bCs/>
          <w:u w:val="single"/>
        </w:rPr>
        <w:t>: RAG Rating of 2017/18 Savings</w:t>
      </w:r>
    </w:p>
    <w:p w14:paraId="5D9CE023" w14:textId="636096BE" w:rsidR="003D73B6" w:rsidRDefault="00D217F5" w:rsidP="00BB0A57">
      <w:pPr>
        <w:pStyle w:val="ListParagraph"/>
        <w:spacing w:after="120"/>
        <w:ind w:left="709"/>
        <w:jc w:val="both"/>
        <w:rPr>
          <w:bCs/>
        </w:rPr>
      </w:pPr>
      <w:r w:rsidRPr="00D217F5">
        <w:rPr>
          <w:noProof/>
          <w:lang w:eastAsia="en-GB"/>
        </w:rPr>
        <w:drawing>
          <wp:inline distT="0" distB="0" distL="0" distR="0" wp14:anchorId="6CDC2BA4" wp14:editId="1097AF0A">
            <wp:extent cx="5208176" cy="2057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0970" cy="2062454"/>
                    </a:xfrm>
                    <a:prstGeom prst="rect">
                      <a:avLst/>
                    </a:prstGeom>
                    <a:noFill/>
                    <a:ln>
                      <a:noFill/>
                    </a:ln>
                  </pic:spPr>
                </pic:pic>
              </a:graphicData>
            </a:graphic>
          </wp:inline>
        </w:drawing>
      </w:r>
    </w:p>
    <w:tbl>
      <w:tblPr>
        <w:tblpPr w:leftFromText="180" w:rightFromText="180" w:vertAnchor="text" w:horzAnchor="page" w:tblpX="2557" w:tblpY="104"/>
        <w:tblW w:w="6345" w:type="dxa"/>
        <w:tblLook w:val="04A0" w:firstRow="1" w:lastRow="0" w:firstColumn="1" w:lastColumn="0" w:noHBand="0" w:noVBand="1"/>
      </w:tblPr>
      <w:tblGrid>
        <w:gridCol w:w="1060"/>
        <w:gridCol w:w="5285"/>
      </w:tblGrid>
      <w:tr w:rsidR="00BB485A" w:rsidRPr="00BB485A" w14:paraId="0CDC5DFD" w14:textId="77777777" w:rsidTr="000A2CF3">
        <w:trPr>
          <w:trHeight w:val="281"/>
        </w:trPr>
        <w:tc>
          <w:tcPr>
            <w:tcW w:w="106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58C0B0C6" w14:textId="77777777" w:rsidR="00BB485A" w:rsidRPr="00BB485A" w:rsidRDefault="00BB485A" w:rsidP="00BB485A">
            <w:pPr>
              <w:rPr>
                <w:rFonts w:cs="Arial"/>
                <w:color w:val="000000"/>
                <w:sz w:val="22"/>
                <w:szCs w:val="22"/>
                <w:lang w:eastAsia="en-GB"/>
              </w:rPr>
            </w:pPr>
            <w:r w:rsidRPr="00BB485A">
              <w:rPr>
                <w:rFonts w:cs="Arial"/>
                <w:color w:val="000000"/>
                <w:sz w:val="22"/>
                <w:szCs w:val="22"/>
                <w:lang w:eastAsia="en-GB"/>
              </w:rPr>
              <w:t>Red</w:t>
            </w:r>
          </w:p>
        </w:tc>
        <w:tc>
          <w:tcPr>
            <w:tcW w:w="5285" w:type="dxa"/>
            <w:tcBorders>
              <w:top w:val="single" w:sz="4" w:space="0" w:color="auto"/>
              <w:left w:val="nil"/>
              <w:bottom w:val="single" w:sz="4" w:space="0" w:color="auto"/>
              <w:right w:val="single" w:sz="4" w:space="0" w:color="auto"/>
            </w:tcBorders>
            <w:shd w:val="clear" w:color="000000" w:fill="FFFFFF"/>
            <w:vAlign w:val="bottom"/>
            <w:hideMark/>
          </w:tcPr>
          <w:p w14:paraId="734A84FA" w14:textId="77777777" w:rsidR="00BB485A" w:rsidRPr="00BB485A" w:rsidRDefault="00BB485A" w:rsidP="00BB485A">
            <w:pPr>
              <w:rPr>
                <w:rFonts w:cs="Arial"/>
                <w:color w:val="000000"/>
                <w:sz w:val="22"/>
                <w:szCs w:val="22"/>
                <w:lang w:eastAsia="en-GB"/>
              </w:rPr>
            </w:pPr>
            <w:r w:rsidRPr="00BB485A">
              <w:rPr>
                <w:rFonts w:cs="Arial"/>
                <w:color w:val="000000"/>
                <w:sz w:val="22"/>
                <w:szCs w:val="22"/>
                <w:lang w:eastAsia="en-GB"/>
              </w:rPr>
              <w:t>Agreed savings not achievable</w:t>
            </w:r>
          </w:p>
        </w:tc>
      </w:tr>
      <w:tr w:rsidR="00BB485A" w:rsidRPr="00BB485A" w14:paraId="7871E953" w14:textId="77777777" w:rsidTr="000A2CF3">
        <w:trPr>
          <w:trHeight w:val="257"/>
        </w:trPr>
        <w:tc>
          <w:tcPr>
            <w:tcW w:w="1060" w:type="dxa"/>
            <w:tcBorders>
              <w:top w:val="nil"/>
              <w:left w:val="single" w:sz="4" w:space="0" w:color="auto"/>
              <w:bottom w:val="single" w:sz="4" w:space="0" w:color="auto"/>
              <w:right w:val="single" w:sz="4" w:space="0" w:color="auto"/>
            </w:tcBorders>
            <w:shd w:val="clear" w:color="000000" w:fill="FFC000"/>
            <w:noWrap/>
            <w:vAlign w:val="bottom"/>
            <w:hideMark/>
          </w:tcPr>
          <w:p w14:paraId="7D0E6D6D" w14:textId="77777777" w:rsidR="00BB485A" w:rsidRPr="00BB485A" w:rsidRDefault="00BB485A" w:rsidP="00BB485A">
            <w:pPr>
              <w:rPr>
                <w:rFonts w:cs="Arial"/>
                <w:color w:val="000000"/>
                <w:sz w:val="22"/>
                <w:szCs w:val="22"/>
                <w:lang w:eastAsia="en-GB"/>
              </w:rPr>
            </w:pPr>
            <w:r w:rsidRPr="00BB485A">
              <w:rPr>
                <w:rFonts w:cs="Arial"/>
                <w:color w:val="000000"/>
                <w:sz w:val="22"/>
                <w:szCs w:val="22"/>
                <w:lang w:eastAsia="en-GB"/>
              </w:rPr>
              <w:t>Amber</w:t>
            </w:r>
          </w:p>
        </w:tc>
        <w:tc>
          <w:tcPr>
            <w:tcW w:w="5285" w:type="dxa"/>
            <w:tcBorders>
              <w:top w:val="nil"/>
              <w:left w:val="nil"/>
              <w:bottom w:val="single" w:sz="4" w:space="0" w:color="auto"/>
              <w:right w:val="single" w:sz="4" w:space="0" w:color="auto"/>
            </w:tcBorders>
            <w:shd w:val="clear" w:color="000000" w:fill="FFFFFF"/>
            <w:vAlign w:val="bottom"/>
            <w:hideMark/>
          </w:tcPr>
          <w:p w14:paraId="2D88E97B" w14:textId="4EADDA74" w:rsidR="00BB485A" w:rsidRPr="00BB485A" w:rsidRDefault="00BB485A" w:rsidP="00BB485A">
            <w:pPr>
              <w:rPr>
                <w:rFonts w:cs="Arial"/>
                <w:color w:val="000000"/>
                <w:sz w:val="22"/>
                <w:szCs w:val="22"/>
                <w:lang w:eastAsia="en-GB"/>
              </w:rPr>
            </w:pPr>
            <w:r w:rsidRPr="00BB485A">
              <w:rPr>
                <w:rFonts w:cs="Arial"/>
                <w:color w:val="000000"/>
                <w:sz w:val="22"/>
                <w:szCs w:val="22"/>
                <w:lang w:eastAsia="en-GB"/>
              </w:rPr>
              <w:t>Savings only partially achieved or risk remaining</w:t>
            </w:r>
          </w:p>
        </w:tc>
      </w:tr>
      <w:tr w:rsidR="00BB485A" w:rsidRPr="00BB485A" w14:paraId="06B803DE" w14:textId="77777777" w:rsidTr="000A2CF3">
        <w:trPr>
          <w:trHeight w:val="285"/>
        </w:trPr>
        <w:tc>
          <w:tcPr>
            <w:tcW w:w="1060" w:type="dxa"/>
            <w:tcBorders>
              <w:top w:val="nil"/>
              <w:left w:val="single" w:sz="4" w:space="0" w:color="auto"/>
              <w:bottom w:val="single" w:sz="4" w:space="0" w:color="auto"/>
              <w:right w:val="single" w:sz="4" w:space="0" w:color="auto"/>
            </w:tcBorders>
            <w:shd w:val="clear" w:color="000000" w:fill="92D050"/>
            <w:noWrap/>
            <w:vAlign w:val="bottom"/>
            <w:hideMark/>
          </w:tcPr>
          <w:p w14:paraId="45110698" w14:textId="77777777" w:rsidR="00BB485A" w:rsidRPr="00BB485A" w:rsidRDefault="00BB485A" w:rsidP="00BB485A">
            <w:pPr>
              <w:rPr>
                <w:rFonts w:cs="Arial"/>
                <w:color w:val="000000"/>
                <w:sz w:val="22"/>
                <w:szCs w:val="22"/>
                <w:lang w:eastAsia="en-GB"/>
              </w:rPr>
            </w:pPr>
            <w:r w:rsidRPr="00BB485A">
              <w:rPr>
                <w:rFonts w:cs="Arial"/>
                <w:color w:val="000000"/>
                <w:sz w:val="22"/>
                <w:szCs w:val="22"/>
                <w:lang w:eastAsia="en-GB"/>
              </w:rPr>
              <w:t>Green</w:t>
            </w:r>
          </w:p>
        </w:tc>
        <w:tc>
          <w:tcPr>
            <w:tcW w:w="5285" w:type="dxa"/>
            <w:tcBorders>
              <w:top w:val="nil"/>
              <w:left w:val="nil"/>
              <w:bottom w:val="single" w:sz="4" w:space="0" w:color="auto"/>
              <w:right w:val="single" w:sz="4" w:space="0" w:color="auto"/>
            </w:tcBorders>
            <w:shd w:val="clear" w:color="000000" w:fill="FFFFFF"/>
            <w:vAlign w:val="bottom"/>
            <w:hideMark/>
          </w:tcPr>
          <w:p w14:paraId="3936CF35" w14:textId="259E0479" w:rsidR="00BB485A" w:rsidRPr="00BB485A" w:rsidRDefault="00BB485A" w:rsidP="00BB485A">
            <w:pPr>
              <w:rPr>
                <w:rFonts w:cs="Arial"/>
                <w:color w:val="000000"/>
                <w:sz w:val="22"/>
                <w:szCs w:val="22"/>
                <w:lang w:eastAsia="en-GB"/>
              </w:rPr>
            </w:pPr>
            <w:r w:rsidRPr="00BB485A">
              <w:rPr>
                <w:rFonts w:cs="Arial"/>
                <w:color w:val="000000"/>
                <w:sz w:val="22"/>
                <w:szCs w:val="22"/>
                <w:lang w:eastAsia="en-GB"/>
              </w:rPr>
              <w:t>Achievement of savings on track</w:t>
            </w:r>
          </w:p>
        </w:tc>
      </w:tr>
      <w:tr w:rsidR="00BB485A" w:rsidRPr="00BB485A" w14:paraId="420411AF" w14:textId="77777777" w:rsidTr="000A2CF3">
        <w:trPr>
          <w:trHeight w:val="293"/>
        </w:trPr>
        <w:tc>
          <w:tcPr>
            <w:tcW w:w="1060" w:type="dxa"/>
            <w:tcBorders>
              <w:top w:val="nil"/>
              <w:left w:val="single" w:sz="4" w:space="0" w:color="auto"/>
              <w:bottom w:val="single" w:sz="4" w:space="0" w:color="auto"/>
              <w:right w:val="single" w:sz="4" w:space="0" w:color="auto"/>
            </w:tcBorders>
            <w:shd w:val="clear" w:color="000000" w:fill="00B0F0"/>
            <w:noWrap/>
            <w:vAlign w:val="bottom"/>
            <w:hideMark/>
          </w:tcPr>
          <w:p w14:paraId="5C79066E" w14:textId="77777777" w:rsidR="00BB485A" w:rsidRPr="00BB485A" w:rsidRDefault="00BB485A" w:rsidP="00BB485A">
            <w:pPr>
              <w:rPr>
                <w:rFonts w:cs="Arial"/>
                <w:color w:val="000000"/>
                <w:sz w:val="22"/>
                <w:szCs w:val="22"/>
                <w:lang w:eastAsia="en-GB"/>
              </w:rPr>
            </w:pPr>
            <w:r w:rsidRPr="00BB485A">
              <w:rPr>
                <w:rFonts w:cs="Arial"/>
                <w:color w:val="000000"/>
                <w:sz w:val="22"/>
                <w:szCs w:val="22"/>
                <w:lang w:eastAsia="en-GB"/>
              </w:rPr>
              <w:t>Blue</w:t>
            </w:r>
          </w:p>
        </w:tc>
        <w:tc>
          <w:tcPr>
            <w:tcW w:w="5285" w:type="dxa"/>
            <w:tcBorders>
              <w:top w:val="nil"/>
              <w:left w:val="nil"/>
              <w:bottom w:val="single" w:sz="4" w:space="0" w:color="auto"/>
              <w:right w:val="single" w:sz="4" w:space="0" w:color="auto"/>
            </w:tcBorders>
            <w:shd w:val="clear" w:color="000000" w:fill="FFFFFF"/>
            <w:vAlign w:val="bottom"/>
            <w:hideMark/>
          </w:tcPr>
          <w:p w14:paraId="29F89F4D" w14:textId="77777777" w:rsidR="00BB485A" w:rsidRPr="00BB485A" w:rsidRDefault="00BB485A" w:rsidP="00BB485A">
            <w:pPr>
              <w:rPr>
                <w:rFonts w:cs="Arial"/>
                <w:color w:val="000000"/>
                <w:sz w:val="22"/>
                <w:szCs w:val="22"/>
                <w:lang w:eastAsia="en-GB"/>
              </w:rPr>
            </w:pPr>
            <w:r w:rsidRPr="00BB485A">
              <w:rPr>
                <w:rFonts w:cs="Arial"/>
                <w:color w:val="000000"/>
                <w:sz w:val="22"/>
                <w:szCs w:val="22"/>
                <w:lang w:eastAsia="en-GB"/>
              </w:rPr>
              <w:t>Savings achieved and banked</w:t>
            </w:r>
          </w:p>
        </w:tc>
      </w:tr>
    </w:tbl>
    <w:p w14:paraId="495B22A1" w14:textId="77777777" w:rsidR="00BB485A" w:rsidRDefault="00BB485A" w:rsidP="00BB0A57">
      <w:pPr>
        <w:pStyle w:val="ListParagraph"/>
        <w:spacing w:after="120"/>
        <w:ind w:left="709"/>
        <w:jc w:val="both"/>
        <w:rPr>
          <w:bCs/>
        </w:rPr>
      </w:pPr>
      <w:r>
        <w:rPr>
          <w:bCs/>
        </w:rPr>
        <w:t xml:space="preserve">   </w:t>
      </w:r>
    </w:p>
    <w:p w14:paraId="1F559764" w14:textId="0B83EB3E" w:rsidR="003D73B6" w:rsidRDefault="00BB485A" w:rsidP="00BB0A57">
      <w:pPr>
        <w:pStyle w:val="ListParagraph"/>
        <w:spacing w:after="120"/>
        <w:ind w:left="709"/>
        <w:jc w:val="both"/>
        <w:rPr>
          <w:bCs/>
        </w:rPr>
      </w:pPr>
      <w:r>
        <w:rPr>
          <w:bCs/>
        </w:rPr>
        <w:t xml:space="preserve"> </w:t>
      </w:r>
    </w:p>
    <w:p w14:paraId="4497BA27" w14:textId="77777777" w:rsidR="00AC14C2" w:rsidRDefault="00AC14C2" w:rsidP="001101EE">
      <w:pPr>
        <w:pStyle w:val="ListParagraph"/>
        <w:spacing w:after="120"/>
        <w:ind w:left="709"/>
        <w:jc w:val="both"/>
        <w:rPr>
          <w:bCs/>
          <w:highlight w:val="yellow"/>
        </w:rPr>
      </w:pPr>
    </w:p>
    <w:p w14:paraId="31272FB5" w14:textId="77777777" w:rsidR="00BB485A" w:rsidRDefault="00BB485A" w:rsidP="001101EE">
      <w:pPr>
        <w:pStyle w:val="ListParagraph"/>
        <w:spacing w:after="120"/>
        <w:ind w:left="709"/>
        <w:jc w:val="both"/>
        <w:rPr>
          <w:bCs/>
          <w:highlight w:val="yellow"/>
        </w:rPr>
      </w:pPr>
    </w:p>
    <w:p w14:paraId="33860377" w14:textId="77777777" w:rsidR="00D217F5" w:rsidRDefault="00D217F5" w:rsidP="001101EE">
      <w:pPr>
        <w:pStyle w:val="ListParagraph"/>
        <w:spacing w:after="120"/>
        <w:ind w:left="709"/>
        <w:jc w:val="both"/>
        <w:rPr>
          <w:bCs/>
          <w:highlight w:val="yellow"/>
        </w:rPr>
      </w:pPr>
    </w:p>
    <w:p w14:paraId="5A2E1F68" w14:textId="54B9D2AB" w:rsidR="00014135" w:rsidRDefault="00014135" w:rsidP="001101EE">
      <w:pPr>
        <w:pStyle w:val="ListParagraph"/>
        <w:spacing w:after="120"/>
        <w:ind w:left="709"/>
        <w:jc w:val="both"/>
        <w:rPr>
          <w:b/>
          <w:bCs/>
          <w:i/>
          <w:u w:val="single"/>
        </w:rPr>
      </w:pPr>
      <w:r w:rsidRPr="00CB1B58">
        <w:rPr>
          <w:b/>
          <w:bCs/>
          <w:i/>
          <w:u w:val="single"/>
        </w:rPr>
        <w:t>Debt Write-off</w:t>
      </w:r>
    </w:p>
    <w:p w14:paraId="1D103FC7" w14:textId="4FCE3E0A" w:rsidR="000B0E22" w:rsidRPr="000D08C3" w:rsidRDefault="000B0E22" w:rsidP="000A2CF3">
      <w:pPr>
        <w:pStyle w:val="ListParagraph"/>
        <w:numPr>
          <w:ilvl w:val="0"/>
          <w:numId w:val="170"/>
        </w:numPr>
        <w:spacing w:after="120"/>
        <w:ind w:left="709" w:hanging="709"/>
        <w:jc w:val="both"/>
        <w:rPr>
          <w:bCs/>
        </w:rPr>
      </w:pPr>
      <w:r w:rsidRPr="000B0E22">
        <w:rPr>
          <w:bCs/>
          <w:iCs/>
        </w:rPr>
        <w:t>Cabinet is requested</w:t>
      </w:r>
      <w:r w:rsidR="00CC2689">
        <w:rPr>
          <w:bCs/>
          <w:iCs/>
        </w:rPr>
        <w:t xml:space="preserve"> to write of</w:t>
      </w:r>
      <w:r w:rsidR="00FB7B2D">
        <w:rPr>
          <w:bCs/>
          <w:iCs/>
        </w:rPr>
        <w:t>f</w:t>
      </w:r>
      <w:r w:rsidR="00CC2689">
        <w:rPr>
          <w:bCs/>
          <w:iCs/>
        </w:rPr>
        <w:t xml:space="preserve"> debt of £138,125</w:t>
      </w:r>
      <w:r w:rsidRPr="000B0E22">
        <w:rPr>
          <w:bCs/>
          <w:iCs/>
        </w:rPr>
        <w:t xml:space="preserve"> in relation to three historic adult social care debts which are not considered recoverable and which have been fully provided</w:t>
      </w:r>
      <w:r w:rsidR="002F300F">
        <w:rPr>
          <w:bCs/>
          <w:iCs/>
        </w:rPr>
        <w:t xml:space="preserve"> for</w:t>
      </w:r>
      <w:r w:rsidRPr="000B0E22">
        <w:rPr>
          <w:bCs/>
          <w:iCs/>
        </w:rPr>
        <w:t xml:space="preserve"> within the Adults bad debt provision</w:t>
      </w:r>
      <w:r>
        <w:rPr>
          <w:bCs/>
          <w:iCs/>
        </w:rPr>
        <w:t>.</w:t>
      </w:r>
    </w:p>
    <w:p w14:paraId="05A6D153" w14:textId="77777777" w:rsidR="000B0E22" w:rsidRPr="000D08C3" w:rsidRDefault="000B0E22" w:rsidP="000A2CF3">
      <w:pPr>
        <w:pStyle w:val="ListParagraph"/>
        <w:numPr>
          <w:ilvl w:val="0"/>
          <w:numId w:val="170"/>
        </w:numPr>
        <w:spacing w:after="120"/>
        <w:ind w:left="709" w:hanging="709"/>
        <w:jc w:val="both"/>
        <w:rPr>
          <w:bCs/>
        </w:rPr>
      </w:pPr>
      <w:r w:rsidRPr="000B0E22">
        <w:rPr>
          <w:bCs/>
          <w:iCs/>
        </w:rPr>
        <w:lastRenderedPageBreak/>
        <w:t>These debts relate to the payment of care.  In two of the cases, the debts were expected to be discharged through property transactions (these were complex cases including joint ownership and trusts).  The third case related to the payment of benefits to a family member who was not responsible for care costs</w:t>
      </w:r>
      <w:r>
        <w:rPr>
          <w:bCs/>
          <w:iCs/>
        </w:rPr>
        <w:t>.</w:t>
      </w:r>
    </w:p>
    <w:p w14:paraId="6BFCEEDE" w14:textId="02ED1CB5" w:rsidR="00093438" w:rsidRDefault="000B0E22" w:rsidP="000A2CF3">
      <w:pPr>
        <w:pStyle w:val="ListParagraph"/>
        <w:numPr>
          <w:ilvl w:val="0"/>
          <w:numId w:val="170"/>
        </w:numPr>
        <w:spacing w:after="120"/>
        <w:ind w:left="709" w:hanging="709"/>
        <w:jc w:val="both"/>
        <w:rPr>
          <w:bCs/>
          <w:iCs/>
        </w:rPr>
      </w:pPr>
      <w:r w:rsidRPr="000B0E22">
        <w:rPr>
          <w:bCs/>
          <w:iCs/>
        </w:rPr>
        <w:t>The service users died over the period 2011 to 2014.  In recent years efforts have been made to recover these outstanding amounts, however given the age of the debt and the length of time which has passed since the service users death, these are no longer considered recoverable</w:t>
      </w:r>
      <w:r>
        <w:rPr>
          <w:bCs/>
          <w:iCs/>
        </w:rPr>
        <w:t>.</w:t>
      </w:r>
    </w:p>
    <w:p w14:paraId="34182820" w14:textId="77777777" w:rsidR="003A52A2" w:rsidRDefault="003A52A2" w:rsidP="000A3C5C">
      <w:pPr>
        <w:spacing w:after="120"/>
        <w:jc w:val="both"/>
        <w:rPr>
          <w:bCs/>
          <w:iCs/>
        </w:rPr>
      </w:pPr>
    </w:p>
    <w:p w14:paraId="1CEEAFE6" w14:textId="77777777" w:rsidR="003A52A2" w:rsidRPr="000A3C5C" w:rsidRDefault="003A52A2" w:rsidP="000A3C5C">
      <w:pPr>
        <w:spacing w:after="120"/>
        <w:jc w:val="both"/>
        <w:rPr>
          <w:bCs/>
          <w:iCs/>
        </w:rPr>
      </w:pPr>
    </w:p>
    <w:p w14:paraId="6164A306" w14:textId="77777777" w:rsidR="00093438" w:rsidRDefault="00093438">
      <w:pPr>
        <w:pStyle w:val="ListParagraph"/>
        <w:spacing w:after="120"/>
        <w:ind w:left="709"/>
        <w:jc w:val="both"/>
        <w:rPr>
          <w:bCs/>
          <w:iCs/>
        </w:rPr>
      </w:pPr>
    </w:p>
    <w:p w14:paraId="22BCF9C8" w14:textId="5CD1047B" w:rsidR="003D73B6" w:rsidRPr="000A2CF3" w:rsidRDefault="003D0738" w:rsidP="000A2CF3">
      <w:pPr>
        <w:ind w:left="284" w:hanging="142"/>
        <w:rPr>
          <w:b/>
          <w:u w:val="single"/>
        </w:rPr>
      </w:pPr>
      <w:r>
        <w:rPr>
          <w:rFonts w:cs="Arial"/>
          <w:b/>
          <w:bCs/>
          <w:kern w:val="32"/>
          <w:sz w:val="28"/>
          <w:szCs w:val="28"/>
        </w:rPr>
        <w:t xml:space="preserve">3. </w:t>
      </w:r>
      <w:r w:rsidR="003D73B6" w:rsidRPr="000A2CF3">
        <w:rPr>
          <w:b/>
          <w:u w:val="single"/>
        </w:rPr>
        <w:t xml:space="preserve">CAPITAL </w:t>
      </w:r>
      <w:r w:rsidR="003D73B6" w:rsidRPr="000A2CF3">
        <w:rPr>
          <w:b/>
          <w:sz w:val="28"/>
          <w:szCs w:val="28"/>
          <w:u w:val="single"/>
        </w:rPr>
        <w:t>PROGRAMME</w:t>
      </w:r>
    </w:p>
    <w:p w14:paraId="459C34B2" w14:textId="77777777" w:rsidR="00CC2689" w:rsidRPr="000A2CF3" w:rsidRDefault="00CC2689" w:rsidP="000A2CF3"/>
    <w:p w14:paraId="79DBF693" w14:textId="2E66D006" w:rsidR="0077788D" w:rsidRPr="000370A6" w:rsidRDefault="008B10C1" w:rsidP="00BB0A57">
      <w:pPr>
        <w:pStyle w:val="ListParagraph"/>
        <w:numPr>
          <w:ilvl w:val="0"/>
          <w:numId w:val="30"/>
        </w:numPr>
        <w:spacing w:after="120"/>
        <w:ind w:left="709" w:hanging="709"/>
        <w:jc w:val="both"/>
        <w:rPr>
          <w:bCs/>
        </w:rPr>
      </w:pPr>
      <w:r w:rsidRPr="008B10C1">
        <w:rPr>
          <w:bCs/>
        </w:rPr>
        <w:t>The 2017/18 capital programme agreed by Council in February 2017 totalled £143.863m.  After allowing for agreed slippage of £76.691m from 2016/17 outturn and other approved amendments</w:t>
      </w:r>
      <w:r w:rsidR="002F300F">
        <w:rPr>
          <w:bCs/>
        </w:rPr>
        <w:t xml:space="preserve"> including the 25% reduction to Capital programme in Quarter 2</w:t>
      </w:r>
      <w:r w:rsidRPr="008B10C1">
        <w:rPr>
          <w:bCs/>
        </w:rPr>
        <w:t xml:space="preserve">, the programme now </w:t>
      </w:r>
      <w:r>
        <w:rPr>
          <w:bCs/>
        </w:rPr>
        <w:t>totals £198.231</w:t>
      </w:r>
      <w:r w:rsidRPr="008B10C1">
        <w:rPr>
          <w:bCs/>
        </w:rPr>
        <w:t xml:space="preserve">m at </w:t>
      </w:r>
      <w:r>
        <w:rPr>
          <w:bCs/>
        </w:rPr>
        <w:t>Quarter</w:t>
      </w:r>
      <w:r w:rsidR="00DF57F7">
        <w:rPr>
          <w:bCs/>
        </w:rPr>
        <w:t xml:space="preserve"> 3</w:t>
      </w:r>
      <w:r>
        <w:rPr>
          <w:bCs/>
        </w:rPr>
        <w:t>.</w:t>
      </w:r>
    </w:p>
    <w:p w14:paraId="4A819E2D" w14:textId="13B18AC6" w:rsidR="0008415C" w:rsidRPr="000370A6" w:rsidRDefault="0008415C" w:rsidP="00BB0A57">
      <w:pPr>
        <w:pStyle w:val="ListParagraph"/>
        <w:numPr>
          <w:ilvl w:val="0"/>
          <w:numId w:val="30"/>
        </w:numPr>
        <w:spacing w:after="120"/>
        <w:ind w:left="709" w:hanging="709"/>
        <w:jc w:val="both"/>
        <w:rPr>
          <w:bCs/>
        </w:rPr>
      </w:pPr>
      <w:r w:rsidRPr="000370A6">
        <w:rPr>
          <w:bCs/>
        </w:rPr>
        <w:t xml:space="preserve">The forecast spend at Quarter </w:t>
      </w:r>
      <w:r w:rsidR="00DF57F7">
        <w:rPr>
          <w:bCs/>
        </w:rPr>
        <w:t>3</w:t>
      </w:r>
      <w:r w:rsidRPr="000370A6">
        <w:rPr>
          <w:bCs/>
        </w:rPr>
        <w:t xml:space="preserve"> is £1</w:t>
      </w:r>
      <w:r w:rsidR="00DF57F7">
        <w:rPr>
          <w:bCs/>
        </w:rPr>
        <w:t>01.</w:t>
      </w:r>
      <w:r w:rsidR="009E4373">
        <w:rPr>
          <w:bCs/>
        </w:rPr>
        <w:t>962</w:t>
      </w:r>
      <w:r w:rsidRPr="000370A6">
        <w:rPr>
          <w:bCs/>
        </w:rPr>
        <w:t xml:space="preserve">m, </w:t>
      </w:r>
      <w:r w:rsidR="00DF57F7">
        <w:rPr>
          <w:bCs/>
        </w:rPr>
        <w:t>51</w:t>
      </w:r>
      <w:r w:rsidRPr="000370A6">
        <w:rPr>
          <w:bCs/>
        </w:rPr>
        <w:t xml:space="preserve">% of the total </w:t>
      </w:r>
      <w:r w:rsidR="00AC14C2" w:rsidRPr="000370A6">
        <w:rPr>
          <w:bCs/>
        </w:rPr>
        <w:t>capitals programme</w:t>
      </w:r>
      <w:r w:rsidRPr="000370A6">
        <w:rPr>
          <w:bCs/>
        </w:rPr>
        <w:t>.</w:t>
      </w:r>
    </w:p>
    <w:p w14:paraId="6CD124A3" w14:textId="49DCC9D9" w:rsidR="00700A45" w:rsidRDefault="0008415C">
      <w:pPr>
        <w:pStyle w:val="ListParagraph"/>
        <w:numPr>
          <w:ilvl w:val="0"/>
          <w:numId w:val="30"/>
        </w:numPr>
        <w:spacing w:after="120"/>
        <w:ind w:left="709" w:hanging="709"/>
        <w:jc w:val="both"/>
        <w:rPr>
          <w:bCs/>
        </w:rPr>
      </w:pPr>
      <w:r w:rsidRPr="00700A45">
        <w:rPr>
          <w:bCs/>
        </w:rPr>
        <w:t xml:space="preserve">The forecast variance on </w:t>
      </w:r>
      <w:r w:rsidR="00503705" w:rsidRPr="00700A45">
        <w:rPr>
          <w:bCs/>
        </w:rPr>
        <w:t>the General Fund at Quarter</w:t>
      </w:r>
      <w:r w:rsidRPr="00700A45">
        <w:rPr>
          <w:bCs/>
        </w:rPr>
        <w:t xml:space="preserve"> </w:t>
      </w:r>
      <w:r w:rsidR="00DF57F7">
        <w:rPr>
          <w:bCs/>
        </w:rPr>
        <w:t>3</w:t>
      </w:r>
      <w:r w:rsidRPr="00700A45">
        <w:rPr>
          <w:bCs/>
        </w:rPr>
        <w:t xml:space="preserve"> is a </w:t>
      </w:r>
      <w:r w:rsidR="005E5177">
        <w:rPr>
          <w:bCs/>
        </w:rPr>
        <w:t>variance</w:t>
      </w:r>
      <w:r w:rsidRPr="00700A45">
        <w:rPr>
          <w:bCs/>
        </w:rPr>
        <w:t xml:space="preserve"> of </w:t>
      </w:r>
      <w:r w:rsidR="00894D7D">
        <w:rPr>
          <w:bCs/>
        </w:rPr>
        <w:t>(</w:t>
      </w:r>
      <w:r w:rsidRPr="00700A45">
        <w:rPr>
          <w:bCs/>
        </w:rPr>
        <w:t>£</w:t>
      </w:r>
      <w:r w:rsidR="007A034A">
        <w:rPr>
          <w:bCs/>
        </w:rPr>
        <w:t>77.</w:t>
      </w:r>
      <w:r w:rsidR="009E4373">
        <w:rPr>
          <w:bCs/>
        </w:rPr>
        <w:t>113</w:t>
      </w:r>
      <w:r w:rsidR="0042378A" w:rsidRPr="00700A45">
        <w:rPr>
          <w:bCs/>
        </w:rPr>
        <w:t>m</w:t>
      </w:r>
      <w:r w:rsidR="00894D7D">
        <w:rPr>
          <w:bCs/>
        </w:rPr>
        <w:t>)</w:t>
      </w:r>
      <w:r w:rsidR="0042378A" w:rsidRPr="00700A45">
        <w:rPr>
          <w:bCs/>
        </w:rPr>
        <w:t xml:space="preserve"> (</w:t>
      </w:r>
      <w:r w:rsidR="007A034A">
        <w:rPr>
          <w:bCs/>
        </w:rPr>
        <w:t>47</w:t>
      </w:r>
      <w:r w:rsidRPr="00700A45">
        <w:rPr>
          <w:bCs/>
        </w:rPr>
        <w:t xml:space="preserve">%) of </w:t>
      </w:r>
      <w:r w:rsidR="00E751D2" w:rsidRPr="00700A45">
        <w:rPr>
          <w:bCs/>
        </w:rPr>
        <w:t>which £</w:t>
      </w:r>
      <w:r w:rsidR="009E4373">
        <w:rPr>
          <w:bCs/>
        </w:rPr>
        <w:t>38.767</w:t>
      </w:r>
      <w:r w:rsidRPr="00700A45">
        <w:rPr>
          <w:bCs/>
        </w:rPr>
        <w:t xml:space="preserve">m is requested for slippage into </w:t>
      </w:r>
      <w:r w:rsidR="00BE7660" w:rsidRPr="00700A45">
        <w:rPr>
          <w:bCs/>
        </w:rPr>
        <w:t>20</w:t>
      </w:r>
      <w:r w:rsidRPr="00700A45">
        <w:rPr>
          <w:bCs/>
        </w:rPr>
        <w:t>18/19</w:t>
      </w:r>
      <w:r w:rsidR="006C2029" w:rsidRPr="00700A45">
        <w:rPr>
          <w:bCs/>
        </w:rPr>
        <w:t>,</w:t>
      </w:r>
      <w:r w:rsidR="00700016" w:rsidRPr="00CB1B58">
        <w:t xml:space="preserve"> </w:t>
      </w:r>
      <w:r w:rsidR="00700016" w:rsidRPr="00700A45">
        <w:rPr>
          <w:bCs/>
        </w:rPr>
        <w:t>and</w:t>
      </w:r>
      <w:r w:rsidR="00700A45" w:rsidRPr="00700A45">
        <w:rPr>
          <w:bCs/>
        </w:rPr>
        <w:t xml:space="preserve"> </w:t>
      </w:r>
      <w:r w:rsidR="0016463C">
        <w:rPr>
          <w:bCs/>
        </w:rPr>
        <w:t>(</w:t>
      </w:r>
      <w:r w:rsidR="00700A45" w:rsidRPr="00700A45">
        <w:rPr>
          <w:bCs/>
        </w:rPr>
        <w:t>£</w:t>
      </w:r>
      <w:r w:rsidR="009E4373">
        <w:rPr>
          <w:bCs/>
        </w:rPr>
        <w:t>38</w:t>
      </w:r>
      <w:r w:rsidR="00700A45" w:rsidRPr="00700A45">
        <w:rPr>
          <w:bCs/>
        </w:rPr>
        <w:t>.</w:t>
      </w:r>
      <w:r w:rsidR="007A034A">
        <w:rPr>
          <w:bCs/>
        </w:rPr>
        <w:t>346</w:t>
      </w:r>
      <w:r w:rsidR="00700A45" w:rsidRPr="00700A45">
        <w:rPr>
          <w:bCs/>
        </w:rPr>
        <w:t>m</w:t>
      </w:r>
      <w:r w:rsidR="0016463C">
        <w:rPr>
          <w:bCs/>
        </w:rPr>
        <w:t>)</w:t>
      </w:r>
      <w:r w:rsidR="00700A45" w:rsidRPr="00700A45">
        <w:rPr>
          <w:bCs/>
        </w:rPr>
        <w:t xml:space="preserve"> can be removed from the Capital Programme.</w:t>
      </w:r>
    </w:p>
    <w:p w14:paraId="4288A4DA" w14:textId="2EB03068" w:rsidR="0008415C" w:rsidRPr="00700A45" w:rsidRDefault="0008415C">
      <w:pPr>
        <w:pStyle w:val="ListParagraph"/>
        <w:numPr>
          <w:ilvl w:val="0"/>
          <w:numId w:val="30"/>
        </w:numPr>
        <w:spacing w:after="120"/>
        <w:ind w:left="709" w:hanging="709"/>
        <w:jc w:val="both"/>
        <w:rPr>
          <w:bCs/>
        </w:rPr>
      </w:pPr>
      <w:r w:rsidRPr="00700A45">
        <w:rPr>
          <w:bCs/>
        </w:rPr>
        <w:t>The forecast variance on the H</w:t>
      </w:r>
      <w:r w:rsidR="006C2029" w:rsidRPr="00700A45">
        <w:rPr>
          <w:bCs/>
        </w:rPr>
        <w:t xml:space="preserve">ousing </w:t>
      </w:r>
      <w:r w:rsidRPr="00700A45">
        <w:rPr>
          <w:bCs/>
        </w:rPr>
        <w:t>R</w:t>
      </w:r>
      <w:r w:rsidR="006C2029" w:rsidRPr="00700A45">
        <w:rPr>
          <w:bCs/>
        </w:rPr>
        <w:t xml:space="preserve">evenue </w:t>
      </w:r>
      <w:r w:rsidRPr="00700A45">
        <w:rPr>
          <w:bCs/>
        </w:rPr>
        <w:t>A</w:t>
      </w:r>
      <w:r w:rsidR="006C2029" w:rsidRPr="00700A45">
        <w:rPr>
          <w:bCs/>
        </w:rPr>
        <w:t>ccount</w:t>
      </w:r>
      <w:r w:rsidRPr="00700A45">
        <w:rPr>
          <w:bCs/>
        </w:rPr>
        <w:t xml:space="preserve"> </w:t>
      </w:r>
      <w:r w:rsidR="00E751D2" w:rsidRPr="00700A45">
        <w:rPr>
          <w:bCs/>
        </w:rPr>
        <w:t xml:space="preserve">budget of £32.457m at Quarter </w:t>
      </w:r>
      <w:r w:rsidR="007A034A">
        <w:rPr>
          <w:bCs/>
        </w:rPr>
        <w:t>3</w:t>
      </w:r>
      <w:r w:rsidR="00E751D2" w:rsidRPr="00700A45">
        <w:rPr>
          <w:bCs/>
        </w:rPr>
        <w:t xml:space="preserve"> is </w:t>
      </w:r>
      <w:r w:rsidR="00131454">
        <w:rPr>
          <w:bCs/>
        </w:rPr>
        <w:t>an under</w:t>
      </w:r>
      <w:r w:rsidR="00784792">
        <w:rPr>
          <w:bCs/>
        </w:rPr>
        <w:t xml:space="preserve"> </w:t>
      </w:r>
      <w:r w:rsidR="00131454">
        <w:rPr>
          <w:bCs/>
        </w:rPr>
        <w:t>spend of (</w:t>
      </w:r>
      <w:r w:rsidR="00E751D2" w:rsidRPr="00700A45">
        <w:rPr>
          <w:bCs/>
        </w:rPr>
        <w:t>£</w:t>
      </w:r>
      <w:r w:rsidR="0042378A" w:rsidRPr="00700A45">
        <w:rPr>
          <w:bCs/>
        </w:rPr>
        <w:t>1</w:t>
      </w:r>
      <w:r w:rsidR="007A034A">
        <w:rPr>
          <w:bCs/>
        </w:rPr>
        <w:t>9.155</w:t>
      </w:r>
      <w:r w:rsidR="00E751D2" w:rsidRPr="00700A45">
        <w:rPr>
          <w:bCs/>
        </w:rPr>
        <w:t>m</w:t>
      </w:r>
      <w:r w:rsidR="00131454">
        <w:rPr>
          <w:bCs/>
        </w:rPr>
        <w:t>)</w:t>
      </w:r>
      <w:r w:rsidR="00700016" w:rsidRPr="00CB1B58">
        <w:rPr>
          <w:bCs/>
        </w:rPr>
        <w:t>, of which £1</w:t>
      </w:r>
      <w:r w:rsidR="007A034A">
        <w:rPr>
          <w:bCs/>
        </w:rPr>
        <w:t>7.192</w:t>
      </w:r>
      <w:r w:rsidR="00700016" w:rsidRPr="00CB1B58">
        <w:rPr>
          <w:bCs/>
        </w:rPr>
        <w:t xml:space="preserve">m is requested for slippage into 2018/19 and </w:t>
      </w:r>
      <w:r w:rsidR="00894D7D">
        <w:rPr>
          <w:bCs/>
        </w:rPr>
        <w:t>(</w:t>
      </w:r>
      <w:r w:rsidR="00700016" w:rsidRPr="00CB1B58">
        <w:rPr>
          <w:bCs/>
        </w:rPr>
        <w:t>£1.964m</w:t>
      </w:r>
      <w:r w:rsidR="00131454">
        <w:rPr>
          <w:bCs/>
        </w:rPr>
        <w:t>)</w:t>
      </w:r>
      <w:r w:rsidR="00700016" w:rsidRPr="00CB1B58">
        <w:rPr>
          <w:bCs/>
        </w:rPr>
        <w:t xml:space="preserve"> can be removed from the Capital Programme.</w:t>
      </w:r>
      <w:r w:rsidR="00E751D2" w:rsidRPr="00700A45">
        <w:rPr>
          <w:bCs/>
        </w:rPr>
        <w:t xml:space="preserve"> </w:t>
      </w:r>
    </w:p>
    <w:p w14:paraId="6C259324" w14:textId="2DBBDEFE" w:rsidR="00E751D2" w:rsidRPr="00700016" w:rsidRDefault="00503705" w:rsidP="00BB0A57">
      <w:pPr>
        <w:pStyle w:val="ListParagraph"/>
        <w:numPr>
          <w:ilvl w:val="0"/>
          <w:numId w:val="30"/>
        </w:numPr>
        <w:spacing w:after="120"/>
        <w:ind w:left="709" w:hanging="709"/>
        <w:jc w:val="both"/>
        <w:rPr>
          <w:bCs/>
        </w:rPr>
      </w:pPr>
      <w:r w:rsidRPr="00700016">
        <w:rPr>
          <w:bCs/>
        </w:rPr>
        <w:t>Tables 1</w:t>
      </w:r>
      <w:r w:rsidR="00012D08">
        <w:rPr>
          <w:bCs/>
        </w:rPr>
        <w:t>0</w:t>
      </w:r>
      <w:r w:rsidRPr="00700016">
        <w:rPr>
          <w:bCs/>
        </w:rPr>
        <w:t xml:space="preserve"> and 1</w:t>
      </w:r>
      <w:r w:rsidR="00012D08">
        <w:rPr>
          <w:bCs/>
        </w:rPr>
        <w:t>1</w:t>
      </w:r>
      <w:r w:rsidR="00E751D2" w:rsidRPr="00700016">
        <w:rPr>
          <w:bCs/>
        </w:rPr>
        <w:t xml:space="preserve"> below summarise the capital forecast position and Appendix 4 shows the capital programme in more detail</w:t>
      </w:r>
      <w:r w:rsidR="0042378A" w:rsidRPr="00700016">
        <w:rPr>
          <w:bCs/>
        </w:rPr>
        <w:t>.</w:t>
      </w:r>
    </w:p>
    <w:p w14:paraId="402371E8" w14:textId="77777777" w:rsidR="00D8425F" w:rsidRDefault="00D8425F" w:rsidP="00BB0A57">
      <w:pPr>
        <w:spacing w:after="120"/>
        <w:jc w:val="both"/>
        <w:rPr>
          <w:b/>
          <w:bCs/>
          <w:u w:val="single"/>
        </w:rPr>
      </w:pPr>
    </w:p>
    <w:p w14:paraId="37F72869" w14:textId="1B667F42" w:rsidR="000A0D08" w:rsidRDefault="00BC12ED">
      <w:pPr>
        <w:spacing w:after="120"/>
        <w:jc w:val="both"/>
        <w:rPr>
          <w:b/>
          <w:bCs/>
          <w:u w:val="single"/>
        </w:rPr>
      </w:pPr>
      <w:r w:rsidRPr="00700016">
        <w:rPr>
          <w:b/>
          <w:bCs/>
          <w:u w:val="single"/>
        </w:rPr>
        <w:t xml:space="preserve">Table </w:t>
      </w:r>
      <w:r w:rsidR="006550F5" w:rsidRPr="00700016">
        <w:rPr>
          <w:b/>
          <w:bCs/>
          <w:u w:val="single"/>
        </w:rPr>
        <w:t>1</w:t>
      </w:r>
      <w:r w:rsidR="00012D08">
        <w:rPr>
          <w:b/>
          <w:bCs/>
          <w:u w:val="single"/>
        </w:rPr>
        <w:t>0</w:t>
      </w:r>
      <w:r w:rsidR="008C006C" w:rsidRPr="00700016">
        <w:rPr>
          <w:b/>
          <w:bCs/>
          <w:u w:val="single"/>
        </w:rPr>
        <w:t>: S</w:t>
      </w:r>
      <w:r w:rsidR="00E751D2" w:rsidRPr="00700016">
        <w:rPr>
          <w:b/>
          <w:bCs/>
          <w:u w:val="single"/>
        </w:rPr>
        <w:t>ummary of Capital forecast by Directorate</w:t>
      </w:r>
      <w:r w:rsidR="00B14AD4" w:rsidRPr="00B14AD4">
        <w:rPr>
          <w:b/>
          <w:bCs/>
          <w:u w:val="single"/>
        </w:rPr>
        <w:t xml:space="preserve"> </w:t>
      </w:r>
    </w:p>
    <w:p w14:paraId="45EF6397" w14:textId="462CB74E" w:rsidR="006C0C64" w:rsidRDefault="009E4373">
      <w:pPr>
        <w:spacing w:after="120"/>
        <w:jc w:val="both"/>
        <w:rPr>
          <w:b/>
          <w:bCs/>
          <w:u w:val="single"/>
        </w:rPr>
      </w:pPr>
      <w:r w:rsidRPr="009E4373">
        <w:rPr>
          <w:noProof/>
          <w:lang w:eastAsia="en-GB"/>
        </w:rPr>
        <w:lastRenderedPageBreak/>
        <w:drawing>
          <wp:inline distT="0" distB="0" distL="0" distR="0" wp14:anchorId="138DA947" wp14:editId="6158C089">
            <wp:extent cx="5334000" cy="4975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5194" cy="4986303"/>
                    </a:xfrm>
                    <a:prstGeom prst="rect">
                      <a:avLst/>
                    </a:prstGeom>
                    <a:noFill/>
                    <a:ln>
                      <a:noFill/>
                    </a:ln>
                  </pic:spPr>
                </pic:pic>
              </a:graphicData>
            </a:graphic>
          </wp:inline>
        </w:drawing>
      </w:r>
    </w:p>
    <w:p w14:paraId="50A273CF" w14:textId="77777777" w:rsidR="00012E47" w:rsidRDefault="00012E47" w:rsidP="00CB1B58">
      <w:pPr>
        <w:rPr>
          <w:b/>
          <w:bCs/>
          <w:u w:val="single"/>
        </w:rPr>
      </w:pPr>
    </w:p>
    <w:p w14:paraId="19651D39" w14:textId="3C810B3F" w:rsidR="009A1D38" w:rsidRDefault="006550F5" w:rsidP="00CB1B58">
      <w:r w:rsidRPr="00691923">
        <w:rPr>
          <w:b/>
          <w:bCs/>
          <w:u w:val="single"/>
        </w:rPr>
        <w:t>Table 1</w:t>
      </w:r>
      <w:r w:rsidR="00012D08">
        <w:rPr>
          <w:b/>
          <w:bCs/>
          <w:u w:val="single"/>
        </w:rPr>
        <w:t>1</w:t>
      </w:r>
      <w:r w:rsidR="00546FB8" w:rsidRPr="00691923">
        <w:rPr>
          <w:b/>
          <w:bCs/>
          <w:u w:val="single"/>
        </w:rPr>
        <w:t xml:space="preserve"> Analysis of Forecast Outturn Variance</w:t>
      </w:r>
      <w:r w:rsidR="00546FB8" w:rsidRPr="00691923">
        <w:t xml:space="preserve"> </w:t>
      </w:r>
    </w:p>
    <w:p w14:paraId="2B16B9AF" w14:textId="77777777" w:rsidR="00132CCF" w:rsidRDefault="00132CCF" w:rsidP="00CB1B58"/>
    <w:p w14:paraId="56EAFD01" w14:textId="3D99368B" w:rsidR="00B14AD4" w:rsidRPr="00691923" w:rsidRDefault="00132CCF" w:rsidP="00CB1B58">
      <w:r w:rsidRPr="00132CCF">
        <w:rPr>
          <w:noProof/>
          <w:lang w:eastAsia="en-GB"/>
        </w:rPr>
        <w:drawing>
          <wp:inline distT="0" distB="0" distL="0" distR="0" wp14:anchorId="2479BC49" wp14:editId="5E595F46">
            <wp:extent cx="5227320" cy="3543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6333" cy="3542631"/>
                    </a:xfrm>
                    <a:prstGeom prst="rect">
                      <a:avLst/>
                    </a:prstGeom>
                    <a:noFill/>
                    <a:ln>
                      <a:noFill/>
                    </a:ln>
                  </pic:spPr>
                </pic:pic>
              </a:graphicData>
            </a:graphic>
          </wp:inline>
        </w:drawing>
      </w:r>
      <w:r w:rsidRPr="00132CCF" w:rsidDel="009E4373">
        <w:t xml:space="preserve"> </w:t>
      </w:r>
    </w:p>
    <w:p w14:paraId="58D8FF40" w14:textId="16FD274F" w:rsidR="0010349E" w:rsidRPr="00E4422D" w:rsidRDefault="00E210B9" w:rsidP="00BB0A57">
      <w:pPr>
        <w:spacing w:after="120"/>
        <w:jc w:val="both"/>
        <w:rPr>
          <w:b/>
          <w:bCs/>
        </w:rPr>
      </w:pPr>
      <w:r w:rsidRPr="00CB1B58">
        <w:rPr>
          <w:noProof/>
          <w:highlight w:val="yellow"/>
          <w:lang w:eastAsia="en-GB"/>
        </w:rPr>
        <w:lastRenderedPageBreak/>
        <w:t xml:space="preserve">   </w:t>
      </w:r>
    </w:p>
    <w:p w14:paraId="6FBE89BB" w14:textId="37EBF98C" w:rsidR="0077788D" w:rsidRDefault="0077788D" w:rsidP="00BB0A57">
      <w:pPr>
        <w:ind w:left="709"/>
        <w:rPr>
          <w:b/>
          <w:u w:val="single"/>
        </w:rPr>
      </w:pPr>
      <w:r w:rsidRPr="00E4422D">
        <w:rPr>
          <w:b/>
          <w:u w:val="single"/>
        </w:rPr>
        <w:t>RESOURCES DIRECTORATE</w:t>
      </w:r>
    </w:p>
    <w:p w14:paraId="08123C58" w14:textId="77777777" w:rsidR="00AE7638" w:rsidRPr="00E4422D" w:rsidRDefault="00AE7638" w:rsidP="00BB0A57">
      <w:pPr>
        <w:ind w:left="709"/>
        <w:rPr>
          <w:b/>
          <w:u w:val="single"/>
        </w:rPr>
      </w:pPr>
    </w:p>
    <w:p w14:paraId="10781544" w14:textId="3BF9DDE7" w:rsidR="009E1F85" w:rsidRDefault="00AE7638" w:rsidP="000A3C5C">
      <w:pPr>
        <w:ind w:left="720" w:hanging="720"/>
        <w:jc w:val="both"/>
      </w:pPr>
      <w:r w:rsidRPr="000A2CF3">
        <w:t>3.6</w:t>
      </w:r>
      <w:r w:rsidRPr="000A2CF3">
        <w:tab/>
      </w:r>
      <w:r w:rsidR="0077788D" w:rsidRPr="005D6E31">
        <w:rPr>
          <w:bCs/>
        </w:rPr>
        <w:t xml:space="preserve">As at Quarter </w:t>
      </w:r>
      <w:r w:rsidR="00E606F3" w:rsidRPr="005D6E31">
        <w:rPr>
          <w:bCs/>
        </w:rPr>
        <w:t>3</w:t>
      </w:r>
      <w:r w:rsidR="0029065A" w:rsidRPr="007502EB">
        <w:rPr>
          <w:bCs/>
        </w:rPr>
        <w:t xml:space="preserve"> </w:t>
      </w:r>
      <w:r w:rsidR="0077788D" w:rsidRPr="00FB7B2D">
        <w:rPr>
          <w:bCs/>
        </w:rPr>
        <w:t xml:space="preserve">the </w:t>
      </w:r>
      <w:r w:rsidR="00BD3BBF" w:rsidRPr="00E176B7">
        <w:rPr>
          <w:bCs/>
        </w:rPr>
        <w:t>Resources Directorate</w:t>
      </w:r>
      <w:r w:rsidR="00D621A6" w:rsidRPr="00AE7638">
        <w:t xml:space="preserve"> </w:t>
      </w:r>
      <w:r w:rsidR="005E5177">
        <w:t xml:space="preserve">is </w:t>
      </w:r>
      <w:r w:rsidR="00D621A6" w:rsidRPr="00AE7638">
        <w:t>forecast</w:t>
      </w:r>
      <w:r w:rsidR="005E5177">
        <w:t>ing</w:t>
      </w:r>
      <w:r w:rsidR="00D621A6" w:rsidRPr="00AE7638">
        <w:t xml:space="preserve"> overall spend of £11.</w:t>
      </w:r>
      <w:r w:rsidR="00EC54A2">
        <w:t>98</w:t>
      </w:r>
      <w:r w:rsidR="00D621A6" w:rsidRPr="00AE7638">
        <w:t xml:space="preserve">9m, which </w:t>
      </w:r>
      <w:r w:rsidR="005E5177">
        <w:t>i</w:t>
      </w:r>
      <w:r w:rsidR="004A6EDB" w:rsidRPr="00AE7638">
        <w:t xml:space="preserve">s </w:t>
      </w:r>
      <w:r w:rsidR="00D621A6" w:rsidRPr="00AE7638">
        <w:t>4</w:t>
      </w:r>
      <w:r w:rsidR="00EC54A2">
        <w:t>4</w:t>
      </w:r>
      <w:r w:rsidR="00D621A6" w:rsidRPr="00AE7638">
        <w:t>% of the approved £2</w:t>
      </w:r>
      <w:r w:rsidR="00EC54A2">
        <w:t>7.320</w:t>
      </w:r>
      <w:r w:rsidR="00D621A6" w:rsidRPr="00AE7638">
        <w:t xml:space="preserve">m capital budget in 2017/18. </w:t>
      </w:r>
      <w:r w:rsidR="00BD3BBF" w:rsidRPr="0035406A">
        <w:rPr>
          <w:bCs/>
        </w:rPr>
        <w:t xml:space="preserve"> </w:t>
      </w:r>
      <w:r w:rsidR="00C162A3" w:rsidRPr="00C162A3">
        <w:t xml:space="preserve">The forecast </w:t>
      </w:r>
      <w:r w:rsidR="005E5177">
        <w:t>variance</w:t>
      </w:r>
      <w:r w:rsidR="00C162A3" w:rsidRPr="00C162A3">
        <w:t xml:space="preserve"> </w:t>
      </w:r>
      <w:r w:rsidR="00D621A6">
        <w:t>totals</w:t>
      </w:r>
      <w:r w:rsidR="00C162A3" w:rsidRPr="00C162A3">
        <w:t xml:space="preserve"> (£</w:t>
      </w:r>
      <w:r w:rsidR="005843A5">
        <w:t>15.3</w:t>
      </w:r>
      <w:r w:rsidR="001B316C">
        <w:t>3</w:t>
      </w:r>
      <w:r w:rsidR="00D621A6">
        <w:t>1</w:t>
      </w:r>
      <w:r w:rsidR="00C162A3" w:rsidRPr="00C162A3">
        <w:t>m)</w:t>
      </w:r>
      <w:r w:rsidR="00C162A3">
        <w:t xml:space="preserve"> </w:t>
      </w:r>
      <w:r w:rsidR="005843A5">
        <w:t xml:space="preserve">which </w:t>
      </w:r>
      <w:r w:rsidR="00C162A3" w:rsidRPr="00C162A3">
        <w:t xml:space="preserve">will </w:t>
      </w:r>
      <w:r w:rsidR="00C162A3">
        <w:t xml:space="preserve">all </w:t>
      </w:r>
      <w:r w:rsidR="00CC2689">
        <w:t>be slipped to 2018/</w:t>
      </w:r>
      <w:r w:rsidR="00C162A3" w:rsidRPr="00C162A3">
        <w:t>19</w:t>
      </w:r>
      <w:r w:rsidR="00C162A3">
        <w:t>.</w:t>
      </w:r>
      <w:r w:rsidR="00C162A3" w:rsidRPr="00C162A3">
        <w:t xml:space="preserve"> The main items of slippage and underspend are detailed </w:t>
      </w:r>
      <w:r w:rsidR="003E3E84">
        <w:t>as follows:</w:t>
      </w:r>
      <w:r w:rsidR="00442F82">
        <w:t xml:space="preserve"> </w:t>
      </w:r>
    </w:p>
    <w:p w14:paraId="5EBBF7EE" w14:textId="77777777" w:rsidR="00D621A6" w:rsidRDefault="00D621A6" w:rsidP="000A2CF3">
      <w:pPr>
        <w:ind w:left="720" w:hanging="720"/>
      </w:pPr>
    </w:p>
    <w:p w14:paraId="6C2348F7" w14:textId="3ADFFD1C" w:rsidR="00D621A6" w:rsidRDefault="00D621A6" w:rsidP="000A2CF3">
      <w:pPr>
        <w:pStyle w:val="ListParagraph"/>
        <w:numPr>
          <w:ilvl w:val="0"/>
          <w:numId w:val="166"/>
        </w:numPr>
        <w:jc w:val="both"/>
      </w:pPr>
      <w:r>
        <w:t>Property Investment Portfolio – out of £9.598m budget one property was acquired in 2017/18, the remaining £4.694m will be slipped to next year whilst the search for another appropriate investment property continues.</w:t>
      </w:r>
      <w:r w:rsidR="00AE7638">
        <w:t xml:space="preserve"> The revenue implication of this is that the 2018</w:t>
      </w:r>
      <w:r w:rsidR="00012E47">
        <w:t>/19</w:t>
      </w:r>
      <w:r w:rsidR="00AE7638">
        <w:t xml:space="preserve"> MTFS saving</w:t>
      </w:r>
      <w:r w:rsidR="00012E47">
        <w:t xml:space="preserve"> could slip depending on when the final purchase takes place.</w:t>
      </w:r>
    </w:p>
    <w:p w14:paraId="6D6A6A6E" w14:textId="77777777" w:rsidR="004A6EDB" w:rsidRDefault="004A6EDB" w:rsidP="000A2CF3">
      <w:pPr>
        <w:ind w:left="720"/>
        <w:jc w:val="both"/>
      </w:pPr>
    </w:p>
    <w:p w14:paraId="20B30DF7" w14:textId="09F218FD" w:rsidR="00D621A6" w:rsidRDefault="00D621A6" w:rsidP="000A2CF3">
      <w:pPr>
        <w:pStyle w:val="ListParagraph"/>
        <w:numPr>
          <w:ilvl w:val="0"/>
          <w:numId w:val="166"/>
        </w:numPr>
        <w:jc w:val="both"/>
      </w:pPr>
      <w:r>
        <w:t>Small Schemes (Council wide) –  £6.630m, this budget is carried forward to next year and intended to be used as and when small priority schemes across the Council are identified in the future.</w:t>
      </w:r>
      <w:r w:rsidR="00AE7638">
        <w:t xml:space="preserve"> There are no revenue implications of slipping this budget to 2019/19.</w:t>
      </w:r>
    </w:p>
    <w:p w14:paraId="2681E9A3" w14:textId="77777777" w:rsidR="004A6EDB" w:rsidRDefault="004A6EDB" w:rsidP="000A2CF3">
      <w:pPr>
        <w:ind w:left="720"/>
        <w:jc w:val="both"/>
      </w:pPr>
    </w:p>
    <w:p w14:paraId="102B754E" w14:textId="523CB50B" w:rsidR="00D621A6" w:rsidRDefault="00D621A6" w:rsidP="000A2CF3">
      <w:pPr>
        <w:pStyle w:val="ListParagraph"/>
        <w:numPr>
          <w:ilvl w:val="0"/>
          <w:numId w:val="166"/>
        </w:numPr>
        <w:jc w:val="both"/>
      </w:pPr>
      <w:r>
        <w:t>ICT Transformation, Refreshment and Enhancement projects – out of £9.152m 2017/18 budget £3.262m will be carried forward to next year</w:t>
      </w:r>
      <w:r w:rsidR="004A6EDB">
        <w:t xml:space="preserve">. This </w:t>
      </w:r>
      <w:r>
        <w:t>is required in 2018/19 to fund contractual milestones and commitments made for Middleware and to fund the digital platform replacement programme.</w:t>
      </w:r>
      <w:r w:rsidR="00AE7638">
        <w:t xml:space="preserve"> There are no revenue implications of slipping this budget to 2018/19.</w:t>
      </w:r>
    </w:p>
    <w:p w14:paraId="42F522A4" w14:textId="77777777" w:rsidR="004A6EDB" w:rsidRDefault="004A6EDB" w:rsidP="000A2CF3">
      <w:pPr>
        <w:ind w:left="720"/>
        <w:jc w:val="both"/>
      </w:pPr>
    </w:p>
    <w:p w14:paraId="6E3FEA21" w14:textId="27C02A82" w:rsidR="00D621A6" w:rsidRDefault="00D621A6" w:rsidP="000A2CF3">
      <w:pPr>
        <w:pStyle w:val="ListParagraph"/>
        <w:numPr>
          <w:ilvl w:val="0"/>
          <w:numId w:val="166"/>
        </w:numPr>
        <w:jc w:val="both"/>
      </w:pPr>
      <w:r>
        <w:t xml:space="preserve">SAP Financial Ledger programme – </w:t>
      </w:r>
      <w:r w:rsidR="004A6EDB">
        <w:t xml:space="preserve">the slippage of </w:t>
      </w:r>
      <w:r>
        <w:t>£0.520m will be required in 2018/19</w:t>
      </w:r>
      <w:r w:rsidR="00AE7638">
        <w:t> to</w:t>
      </w:r>
      <w:r>
        <w:t xml:space="preserve"> fund BW upgrade</w:t>
      </w:r>
      <w:r w:rsidR="00F508D8">
        <w:t xml:space="preserve">, </w:t>
      </w:r>
      <w:r>
        <w:t>Portal and potential purchase of Winshuttle licence</w:t>
      </w:r>
      <w:r w:rsidR="003F67EC">
        <w:t>s</w:t>
      </w:r>
      <w:r>
        <w:t>.</w:t>
      </w:r>
      <w:r w:rsidR="00AE7638">
        <w:t xml:space="preserve"> There are no revenue implications on slipping this budget to 2018/19.</w:t>
      </w:r>
    </w:p>
    <w:p w14:paraId="14E1FEE1" w14:textId="77777777" w:rsidR="00EC54A2" w:rsidRDefault="00EC54A2" w:rsidP="000A2CF3">
      <w:pPr>
        <w:pStyle w:val="ListParagraph"/>
      </w:pPr>
    </w:p>
    <w:p w14:paraId="2505E80E" w14:textId="09DDF464" w:rsidR="00D621A6" w:rsidRDefault="00D621A6" w:rsidP="000A2CF3">
      <w:pPr>
        <w:pStyle w:val="ListParagraph"/>
        <w:numPr>
          <w:ilvl w:val="0"/>
          <w:numId w:val="166"/>
        </w:numPr>
        <w:jc w:val="both"/>
      </w:pPr>
      <w:r>
        <w:t>The balance of £0.</w:t>
      </w:r>
      <w:r w:rsidR="00C46898">
        <w:t>225</w:t>
      </w:r>
      <w:r>
        <w:t>m relates to minor slippages on other schemes.</w:t>
      </w:r>
    </w:p>
    <w:p w14:paraId="52A0C94E" w14:textId="77777777" w:rsidR="00F123B5" w:rsidRPr="00E4422D" w:rsidRDefault="00F123B5" w:rsidP="000A2CF3">
      <w:pPr>
        <w:pStyle w:val="ListParagraph"/>
        <w:spacing w:after="120"/>
        <w:ind w:left="1648"/>
        <w:jc w:val="both"/>
        <w:rPr>
          <w:b/>
          <w:bCs/>
          <w:u w:val="single"/>
          <w:lang w:val="en-US"/>
        </w:rPr>
      </w:pPr>
    </w:p>
    <w:p w14:paraId="7DFBAC7D" w14:textId="3B1523D5" w:rsidR="00107852" w:rsidRPr="00E4422D" w:rsidRDefault="00107852" w:rsidP="00BB0A57">
      <w:pPr>
        <w:pStyle w:val="ListParagraph"/>
        <w:spacing w:after="120"/>
        <w:ind w:left="928"/>
        <w:jc w:val="both"/>
        <w:rPr>
          <w:b/>
          <w:bCs/>
          <w:u w:val="single"/>
        </w:rPr>
      </w:pPr>
      <w:r w:rsidRPr="00E4422D">
        <w:rPr>
          <w:b/>
          <w:bCs/>
          <w:u w:val="single"/>
          <w:lang w:val="en-US"/>
        </w:rPr>
        <w:t>COMMUNITY DIECTORATE</w:t>
      </w:r>
    </w:p>
    <w:p w14:paraId="7CD7736C" w14:textId="6D528F65" w:rsidR="000D3AF9" w:rsidRPr="00E4422D" w:rsidRDefault="000D3AF9" w:rsidP="00CB1B58">
      <w:pPr>
        <w:pStyle w:val="ListParagraph"/>
        <w:numPr>
          <w:ilvl w:val="0"/>
          <w:numId w:val="95"/>
        </w:numPr>
        <w:spacing w:after="120"/>
        <w:ind w:left="709" w:hanging="709"/>
        <w:jc w:val="both"/>
        <w:rPr>
          <w:bCs/>
        </w:rPr>
      </w:pPr>
      <w:r w:rsidRPr="00E4422D">
        <w:rPr>
          <w:bCs/>
        </w:rPr>
        <w:t xml:space="preserve">As at Quarter </w:t>
      </w:r>
      <w:r w:rsidR="00E606F3">
        <w:rPr>
          <w:bCs/>
        </w:rPr>
        <w:t>3</w:t>
      </w:r>
      <w:r w:rsidRPr="00E4422D">
        <w:rPr>
          <w:bCs/>
        </w:rPr>
        <w:t xml:space="preserve"> the forecast is £3</w:t>
      </w:r>
      <w:r w:rsidR="00C162A3">
        <w:rPr>
          <w:bCs/>
        </w:rPr>
        <w:t>5.244</w:t>
      </w:r>
      <w:r w:rsidRPr="00E4422D">
        <w:rPr>
          <w:bCs/>
        </w:rPr>
        <w:t xml:space="preserve">m, </w:t>
      </w:r>
      <w:r w:rsidR="00C162A3">
        <w:rPr>
          <w:bCs/>
        </w:rPr>
        <w:t>73</w:t>
      </w:r>
      <w:r w:rsidRPr="00E4422D">
        <w:rPr>
          <w:bCs/>
        </w:rPr>
        <w:t>% of the total budget.</w:t>
      </w:r>
    </w:p>
    <w:p w14:paraId="1435E3F0" w14:textId="3DFE0040" w:rsidR="000D3AF9" w:rsidRPr="00E4422D" w:rsidRDefault="000D3AF9" w:rsidP="00CB1B58">
      <w:pPr>
        <w:pStyle w:val="ListParagraph"/>
        <w:numPr>
          <w:ilvl w:val="0"/>
          <w:numId w:val="95"/>
        </w:numPr>
        <w:spacing w:after="120"/>
        <w:ind w:left="709" w:hanging="709"/>
        <w:jc w:val="both"/>
        <w:rPr>
          <w:bCs/>
        </w:rPr>
      </w:pPr>
      <w:r w:rsidRPr="00E4422D">
        <w:rPr>
          <w:bCs/>
        </w:rPr>
        <w:t xml:space="preserve">The forecast </w:t>
      </w:r>
      <w:r w:rsidR="005E5177">
        <w:rPr>
          <w:bCs/>
        </w:rPr>
        <w:t>variance</w:t>
      </w:r>
      <w:r w:rsidRPr="00E4422D">
        <w:rPr>
          <w:bCs/>
        </w:rPr>
        <w:t xml:space="preserve"> is </w:t>
      </w:r>
      <w:r w:rsidR="00C5236A">
        <w:rPr>
          <w:bCs/>
        </w:rPr>
        <w:t>(</w:t>
      </w:r>
      <w:r w:rsidRPr="00E4422D">
        <w:rPr>
          <w:bCs/>
        </w:rPr>
        <w:t>£</w:t>
      </w:r>
      <w:r w:rsidR="00C162A3">
        <w:rPr>
          <w:bCs/>
        </w:rPr>
        <w:t>13.159</w:t>
      </w:r>
      <w:r w:rsidRPr="00E4422D">
        <w:rPr>
          <w:bCs/>
        </w:rPr>
        <w:t>m</w:t>
      </w:r>
      <w:r w:rsidR="00C5236A">
        <w:rPr>
          <w:bCs/>
        </w:rPr>
        <w:t>)</w:t>
      </w:r>
      <w:r w:rsidRPr="00E4422D">
        <w:rPr>
          <w:bCs/>
        </w:rPr>
        <w:t xml:space="preserve"> of which £</w:t>
      </w:r>
      <w:r w:rsidR="00C162A3">
        <w:rPr>
          <w:bCs/>
        </w:rPr>
        <w:t>12.890</w:t>
      </w:r>
      <w:r w:rsidRPr="00E4422D">
        <w:rPr>
          <w:bCs/>
        </w:rPr>
        <w:t>m will be slipped to 2018</w:t>
      </w:r>
      <w:r w:rsidR="00CC2689">
        <w:rPr>
          <w:bCs/>
        </w:rPr>
        <w:t>/</w:t>
      </w:r>
      <w:r w:rsidRPr="00E4422D">
        <w:rPr>
          <w:bCs/>
        </w:rPr>
        <w:t>19 and £</w:t>
      </w:r>
      <w:r w:rsidR="00E4422D" w:rsidRPr="00CB1B58">
        <w:rPr>
          <w:bCs/>
        </w:rPr>
        <w:t>0.</w:t>
      </w:r>
      <w:r w:rsidR="00C162A3">
        <w:rPr>
          <w:bCs/>
        </w:rPr>
        <w:t>269</w:t>
      </w:r>
      <w:r w:rsidRPr="00E4422D">
        <w:rPr>
          <w:bCs/>
        </w:rPr>
        <w:t>m is no longer needed. The main items of slippage and underspend are detailed below:</w:t>
      </w:r>
    </w:p>
    <w:p w14:paraId="6A5C9D53" w14:textId="70408238" w:rsidR="000D3AF9" w:rsidRPr="00E4422D" w:rsidRDefault="000D3AF9" w:rsidP="000A2CF3">
      <w:pPr>
        <w:autoSpaceDE w:val="0"/>
        <w:autoSpaceDN w:val="0"/>
        <w:adjustRightInd w:val="0"/>
        <w:spacing w:before="360" w:after="120"/>
        <w:ind w:left="709"/>
        <w:rPr>
          <w:b/>
        </w:rPr>
      </w:pPr>
      <w:r w:rsidRPr="00E4422D">
        <w:rPr>
          <w:b/>
        </w:rPr>
        <w:t>Commissioning</w:t>
      </w:r>
      <w:r w:rsidR="0078018A">
        <w:rPr>
          <w:b/>
        </w:rPr>
        <w:t xml:space="preserve"> and Environment &amp; Culture</w:t>
      </w:r>
    </w:p>
    <w:p w14:paraId="260651A0" w14:textId="30879417" w:rsidR="00C162A3" w:rsidRPr="00AE7638" w:rsidRDefault="003F67EC" w:rsidP="00CB1B58">
      <w:pPr>
        <w:pStyle w:val="ListParagraph"/>
        <w:numPr>
          <w:ilvl w:val="0"/>
          <w:numId w:val="95"/>
        </w:numPr>
        <w:spacing w:after="120"/>
        <w:ind w:left="709" w:hanging="709"/>
        <w:jc w:val="both"/>
        <w:rPr>
          <w:bCs/>
        </w:rPr>
      </w:pPr>
      <w:r>
        <w:rPr>
          <w:bCs/>
        </w:rPr>
        <w:t>At</w:t>
      </w:r>
      <w:r w:rsidR="0078018A" w:rsidRPr="000A2CF3">
        <w:rPr>
          <w:bCs/>
        </w:rPr>
        <w:t xml:space="preserve"> Quarter 3, </w:t>
      </w:r>
      <w:r>
        <w:rPr>
          <w:bCs/>
        </w:rPr>
        <w:t>t</w:t>
      </w:r>
      <w:r w:rsidR="0078018A" w:rsidRPr="000A2CF3">
        <w:rPr>
          <w:bCs/>
        </w:rPr>
        <w:t xml:space="preserve">he service </w:t>
      </w:r>
      <w:r w:rsidR="003A52A2">
        <w:rPr>
          <w:bCs/>
        </w:rPr>
        <w:t xml:space="preserve">is </w:t>
      </w:r>
      <w:r w:rsidR="0078018A" w:rsidRPr="000A2CF3">
        <w:rPr>
          <w:bCs/>
        </w:rPr>
        <w:t>forecast</w:t>
      </w:r>
      <w:r w:rsidR="003A52A2">
        <w:rPr>
          <w:bCs/>
        </w:rPr>
        <w:t>ing</w:t>
      </w:r>
      <w:r w:rsidR="0078018A" w:rsidRPr="000A2CF3">
        <w:rPr>
          <w:bCs/>
        </w:rPr>
        <w:t xml:space="preserve"> to spend £20.795m (83%) in 17/18, a budget </w:t>
      </w:r>
      <w:r w:rsidR="00A77BB9" w:rsidRPr="000A2CF3">
        <w:rPr>
          <w:bCs/>
        </w:rPr>
        <w:t xml:space="preserve">slippage </w:t>
      </w:r>
      <w:r w:rsidR="0078018A" w:rsidRPr="000A2CF3">
        <w:rPr>
          <w:bCs/>
        </w:rPr>
        <w:t>of (£4.075m) and an under</w:t>
      </w:r>
      <w:r w:rsidR="003D4E32">
        <w:rPr>
          <w:bCs/>
        </w:rPr>
        <w:t xml:space="preserve"> </w:t>
      </w:r>
      <w:r w:rsidR="0078018A" w:rsidRPr="000A2CF3">
        <w:rPr>
          <w:bCs/>
        </w:rPr>
        <w:t>spend of (£</w:t>
      </w:r>
      <w:r w:rsidR="0075587A">
        <w:rPr>
          <w:bCs/>
        </w:rPr>
        <w:t>0.</w:t>
      </w:r>
      <w:r w:rsidR="0078018A" w:rsidRPr="000A2CF3">
        <w:rPr>
          <w:bCs/>
        </w:rPr>
        <w:t>137</w:t>
      </w:r>
      <w:r w:rsidR="0075587A">
        <w:rPr>
          <w:bCs/>
        </w:rPr>
        <w:t>m</w:t>
      </w:r>
      <w:r w:rsidR="0078018A" w:rsidRPr="000A2CF3">
        <w:rPr>
          <w:bCs/>
        </w:rPr>
        <w:t>).</w:t>
      </w:r>
      <w:r w:rsidR="00442F82" w:rsidRPr="000A2CF3">
        <w:rPr>
          <w:bCs/>
        </w:rPr>
        <w:t xml:space="preserve"> </w:t>
      </w:r>
    </w:p>
    <w:p w14:paraId="742FF4BF" w14:textId="2480CEEB" w:rsidR="0078018A" w:rsidRPr="000A2CF3" w:rsidRDefault="0078018A" w:rsidP="00CB1B58">
      <w:pPr>
        <w:pStyle w:val="ListParagraph"/>
        <w:numPr>
          <w:ilvl w:val="0"/>
          <w:numId w:val="95"/>
        </w:numPr>
        <w:spacing w:after="120"/>
        <w:ind w:left="709" w:hanging="709"/>
        <w:jc w:val="both"/>
        <w:rPr>
          <w:bCs/>
        </w:rPr>
      </w:pPr>
      <w:r w:rsidRPr="000A2CF3">
        <w:rPr>
          <w:bCs/>
        </w:rPr>
        <w:t xml:space="preserve">Depot Redevelopment is a 3 year project with a capital budget of £5.26m profiled in 17/18. Originally the phasing of the scheme was based around prioritising the movement of buses from the former </w:t>
      </w:r>
      <w:r w:rsidRPr="000A2CF3">
        <w:rPr>
          <w:bCs/>
        </w:rPr>
        <w:lastRenderedPageBreak/>
        <w:t xml:space="preserve">driving centre to allow for the redevelopment of that site to commence. To achieve this, the multi storey car-park (and associated demolition works of existing units) at the depot would have been required as part of the first phase of the scheme. As the pressure to free up the former driving centre has been removed, it has allowed </w:t>
      </w:r>
      <w:r w:rsidR="00012E47">
        <w:rPr>
          <w:bCs/>
        </w:rPr>
        <w:t>the re-</w:t>
      </w:r>
      <w:r w:rsidRPr="000A2CF3">
        <w:rPr>
          <w:bCs/>
        </w:rPr>
        <w:t>phas</w:t>
      </w:r>
      <w:r w:rsidR="00012E47">
        <w:rPr>
          <w:bCs/>
        </w:rPr>
        <w:t>ing of</w:t>
      </w:r>
      <w:r w:rsidRPr="000A2CF3">
        <w:rPr>
          <w:bCs/>
        </w:rPr>
        <w:t xml:space="preserve"> the depot scheme to simplify the programme and minimise disruption to site users. In light of this, the costs of the construction of the multi-storey car park and the demolition of existing offices to facilitate this are not anticipated until 18/19. It is therefore proposed that £3.35m of the budget is </w:t>
      </w:r>
      <w:r w:rsidR="0031781A" w:rsidRPr="000A2CF3">
        <w:rPr>
          <w:bCs/>
        </w:rPr>
        <w:t>slipped</w:t>
      </w:r>
      <w:r w:rsidRPr="000A2CF3">
        <w:rPr>
          <w:bCs/>
        </w:rPr>
        <w:t xml:space="preserve"> to 18/19</w:t>
      </w:r>
      <w:r w:rsidR="00AE7638" w:rsidRPr="003D4E32">
        <w:rPr>
          <w:bCs/>
        </w:rPr>
        <w:t xml:space="preserve"> </w:t>
      </w:r>
      <w:r w:rsidRPr="000A2CF3">
        <w:rPr>
          <w:bCs/>
        </w:rPr>
        <w:t xml:space="preserve">leaving £1.91m in the 17/18 </w:t>
      </w:r>
      <w:r w:rsidRPr="000A2CF3">
        <w:rPr>
          <w:bCs/>
          <w:color w:val="000000" w:themeColor="text1"/>
        </w:rPr>
        <w:t>programme to cover the costs for this financial year</w:t>
      </w:r>
      <w:r w:rsidR="00CA10B9" w:rsidRPr="000A2CF3">
        <w:rPr>
          <w:bCs/>
          <w:color w:val="000000" w:themeColor="text1"/>
        </w:rPr>
        <w:t xml:space="preserve">. </w:t>
      </w:r>
      <w:r w:rsidR="00E00A51">
        <w:rPr>
          <w:bCs/>
          <w:color w:val="000000" w:themeColor="text1"/>
        </w:rPr>
        <w:t>Revenue savings built into budget to cover the capital financing costs. These will be re-profiled in line with capital spend.</w:t>
      </w:r>
    </w:p>
    <w:p w14:paraId="1D6AF69A" w14:textId="77777777" w:rsidR="002C35FE" w:rsidRPr="0031781A" w:rsidRDefault="00197B66" w:rsidP="000A2CF3">
      <w:pPr>
        <w:pStyle w:val="ListParagraph"/>
        <w:numPr>
          <w:ilvl w:val="0"/>
          <w:numId w:val="95"/>
        </w:numPr>
        <w:spacing w:after="120"/>
        <w:ind w:left="709" w:hanging="709"/>
        <w:jc w:val="both"/>
        <w:rPr>
          <w:bCs/>
          <w:color w:val="000000" w:themeColor="text1"/>
        </w:rPr>
      </w:pPr>
      <w:r w:rsidRPr="000A2CF3">
        <w:rPr>
          <w:bCs/>
        </w:rPr>
        <w:t xml:space="preserve">A capital budget of £0.725m is provided primarily for the replacement of the roof and roof lights at Vernon Lodge. The work is currently put on hold pending a decision on a wider project. Although the roof is coming to the end of its life, the building is currently watertight. Should this position change before a decision is taken on the wider project, the capital budget will be used to undertake targeted repairs to the roof to prevent water ingress into the building. It is forecast that £0.725m will be </w:t>
      </w:r>
      <w:r w:rsidR="00AE7638" w:rsidRPr="000A2CF3">
        <w:rPr>
          <w:bCs/>
        </w:rPr>
        <w:t>slipped</w:t>
      </w:r>
      <w:r w:rsidR="00533D2F" w:rsidRPr="000A2CF3">
        <w:rPr>
          <w:bCs/>
          <w:color w:val="FF0000"/>
        </w:rPr>
        <w:t xml:space="preserve"> </w:t>
      </w:r>
      <w:r w:rsidRPr="000A2CF3">
        <w:rPr>
          <w:bCs/>
        </w:rPr>
        <w:t>to 18/19.</w:t>
      </w:r>
      <w:r w:rsidR="00533D2F" w:rsidRPr="000A2CF3">
        <w:rPr>
          <w:bCs/>
          <w:color w:val="FF0000"/>
        </w:rPr>
        <w:t xml:space="preserve"> </w:t>
      </w:r>
      <w:r w:rsidR="000C0919" w:rsidRPr="000A2CF3">
        <w:rPr>
          <w:bCs/>
          <w:color w:val="000000" w:themeColor="text1"/>
        </w:rPr>
        <w:t xml:space="preserve">There </w:t>
      </w:r>
      <w:r w:rsidR="000C0919" w:rsidRPr="0031781A">
        <w:rPr>
          <w:bCs/>
          <w:color w:val="000000" w:themeColor="text1"/>
        </w:rPr>
        <w:t>are no revenue impacts</w:t>
      </w:r>
      <w:r w:rsidR="000C0919" w:rsidRPr="000A2CF3">
        <w:rPr>
          <w:bCs/>
          <w:color w:val="000000" w:themeColor="text1"/>
        </w:rPr>
        <w:t xml:space="preserve"> </w:t>
      </w:r>
      <w:r w:rsidR="00AE7638" w:rsidRPr="000A2CF3">
        <w:rPr>
          <w:bCs/>
          <w:color w:val="000000" w:themeColor="text1"/>
        </w:rPr>
        <w:t>of slippi</w:t>
      </w:r>
      <w:r w:rsidR="000C0919" w:rsidRPr="000A2CF3">
        <w:rPr>
          <w:bCs/>
          <w:color w:val="000000" w:themeColor="text1"/>
        </w:rPr>
        <w:t>ng this budget to 2018/19.</w:t>
      </w:r>
      <w:r w:rsidR="00533D2F" w:rsidRPr="000A2CF3">
        <w:rPr>
          <w:bCs/>
          <w:color w:val="000000" w:themeColor="text1"/>
        </w:rPr>
        <w:t xml:space="preserve"> </w:t>
      </w:r>
    </w:p>
    <w:p w14:paraId="5EBDEA6C" w14:textId="32624BAB" w:rsidR="00197B66" w:rsidRPr="000A2CF3" w:rsidRDefault="002C35FE" w:rsidP="000A2CF3">
      <w:pPr>
        <w:pStyle w:val="ListParagraph"/>
        <w:numPr>
          <w:ilvl w:val="0"/>
          <w:numId w:val="95"/>
        </w:numPr>
        <w:spacing w:after="120"/>
        <w:ind w:left="709" w:hanging="709"/>
        <w:jc w:val="both"/>
        <w:rPr>
          <w:bCs/>
          <w:color w:val="000000" w:themeColor="text1"/>
        </w:rPr>
      </w:pPr>
      <w:r w:rsidRPr="000A2CF3">
        <w:rPr>
          <w:bCs/>
          <w:color w:val="000000" w:themeColor="text1"/>
        </w:rPr>
        <w:t>The forecast underspend relates to Green Grid project (£</w:t>
      </w:r>
      <w:r w:rsidR="0075587A">
        <w:rPr>
          <w:bCs/>
          <w:color w:val="000000" w:themeColor="text1"/>
        </w:rPr>
        <w:t>0.0</w:t>
      </w:r>
      <w:r w:rsidRPr="000A2CF3">
        <w:rPr>
          <w:bCs/>
          <w:color w:val="000000" w:themeColor="text1"/>
        </w:rPr>
        <w:t>38</w:t>
      </w:r>
      <w:r w:rsidR="0075587A">
        <w:rPr>
          <w:bCs/>
          <w:color w:val="000000" w:themeColor="text1"/>
        </w:rPr>
        <w:t>m</w:t>
      </w:r>
      <w:r w:rsidRPr="000A2CF3">
        <w:rPr>
          <w:bCs/>
          <w:color w:val="000000" w:themeColor="text1"/>
        </w:rPr>
        <w:t>) as part of the contribution to the council wide capital reduction exercise, and Local Implementation Plan (£</w:t>
      </w:r>
      <w:r w:rsidR="0075587A">
        <w:rPr>
          <w:bCs/>
          <w:color w:val="000000" w:themeColor="text1"/>
        </w:rPr>
        <w:t>0.0</w:t>
      </w:r>
      <w:r w:rsidRPr="000A2CF3">
        <w:rPr>
          <w:bCs/>
          <w:color w:val="000000" w:themeColor="text1"/>
        </w:rPr>
        <w:t>99</w:t>
      </w:r>
      <w:r w:rsidR="0075587A">
        <w:rPr>
          <w:bCs/>
          <w:color w:val="000000" w:themeColor="text1"/>
        </w:rPr>
        <w:t>m</w:t>
      </w:r>
      <w:r w:rsidRPr="000A2CF3">
        <w:rPr>
          <w:bCs/>
          <w:color w:val="000000" w:themeColor="text1"/>
        </w:rPr>
        <w:t>). Projects classified as capital within 17/18 Local Implementation Plan have a total budget of £2.21m, which is fully funded by Transport for London. The latest budget in the capital programme has been overstated by £</w:t>
      </w:r>
      <w:r w:rsidR="0075587A">
        <w:rPr>
          <w:bCs/>
          <w:color w:val="000000" w:themeColor="text1"/>
        </w:rPr>
        <w:t>0.0</w:t>
      </w:r>
      <w:r w:rsidRPr="000A2CF3">
        <w:rPr>
          <w:bCs/>
          <w:color w:val="000000" w:themeColor="text1"/>
        </w:rPr>
        <w:t>99</w:t>
      </w:r>
      <w:r w:rsidR="0075587A">
        <w:rPr>
          <w:bCs/>
          <w:color w:val="000000" w:themeColor="text1"/>
        </w:rPr>
        <w:t>m</w:t>
      </w:r>
      <w:r w:rsidRPr="000A2CF3">
        <w:rPr>
          <w:bCs/>
          <w:color w:val="000000" w:themeColor="text1"/>
        </w:rPr>
        <w:t>. There are no revenue impacts of slipping this budget to 2018/19.</w:t>
      </w:r>
    </w:p>
    <w:p w14:paraId="60A252D0" w14:textId="77777777" w:rsidR="000C15BE" w:rsidRPr="000A2CF3" w:rsidRDefault="000C15BE" w:rsidP="00BB0A57">
      <w:pPr>
        <w:pStyle w:val="ListParagraph"/>
        <w:spacing w:after="120"/>
        <w:ind w:left="786"/>
        <w:jc w:val="both"/>
        <w:rPr>
          <w:b/>
          <w:bCs/>
          <w:highlight w:val="yellow"/>
        </w:rPr>
      </w:pPr>
    </w:p>
    <w:p w14:paraId="3E848EFB" w14:textId="5DB47F56" w:rsidR="009F2161" w:rsidRPr="00197B66" w:rsidRDefault="009F2161" w:rsidP="00BB0A57">
      <w:pPr>
        <w:pStyle w:val="ListParagraph"/>
        <w:spacing w:after="120"/>
        <w:ind w:left="786"/>
        <w:jc w:val="both"/>
        <w:rPr>
          <w:b/>
          <w:bCs/>
        </w:rPr>
      </w:pPr>
      <w:r w:rsidRPr="00197B66">
        <w:rPr>
          <w:b/>
          <w:bCs/>
        </w:rPr>
        <w:t>Housing General Fund</w:t>
      </w:r>
    </w:p>
    <w:p w14:paraId="3AB8A3D5" w14:textId="35DC969C" w:rsidR="004A47D9" w:rsidRPr="00197B66" w:rsidRDefault="008B3424" w:rsidP="000A2CF3">
      <w:pPr>
        <w:pStyle w:val="ListParagraph"/>
        <w:numPr>
          <w:ilvl w:val="0"/>
          <w:numId w:val="95"/>
        </w:numPr>
        <w:spacing w:after="120"/>
        <w:ind w:left="709" w:hanging="709"/>
        <w:jc w:val="both"/>
        <w:rPr>
          <w:bCs/>
        </w:rPr>
      </w:pPr>
      <w:r w:rsidRPr="00197B66">
        <w:rPr>
          <w:bCs/>
        </w:rPr>
        <w:t xml:space="preserve">At Quarter </w:t>
      </w:r>
      <w:r w:rsidR="00197B66" w:rsidRPr="000A2CF3">
        <w:rPr>
          <w:bCs/>
        </w:rPr>
        <w:t>3</w:t>
      </w:r>
      <w:r w:rsidRPr="00197B66">
        <w:rPr>
          <w:bCs/>
        </w:rPr>
        <w:t xml:space="preserve"> the outturn forecast for Housing General Fund is </w:t>
      </w:r>
      <w:r w:rsidR="004A47D9" w:rsidRPr="00197B66">
        <w:rPr>
          <w:bCs/>
        </w:rPr>
        <w:t xml:space="preserve"> £</w:t>
      </w:r>
      <w:r w:rsidR="008442F1" w:rsidRPr="00197B66">
        <w:rPr>
          <w:bCs/>
        </w:rPr>
        <w:t>14.</w:t>
      </w:r>
      <w:r w:rsidR="00197B66" w:rsidRPr="000A2CF3">
        <w:rPr>
          <w:bCs/>
        </w:rPr>
        <w:t>450</w:t>
      </w:r>
      <w:r w:rsidR="004A47D9" w:rsidRPr="00197B66">
        <w:rPr>
          <w:bCs/>
        </w:rPr>
        <w:t xml:space="preserve">m </w:t>
      </w:r>
    </w:p>
    <w:p w14:paraId="21626F39" w14:textId="7FFDB7FC" w:rsidR="004A47D9" w:rsidRPr="00CA10B9" w:rsidRDefault="004A47D9" w:rsidP="000A2CF3">
      <w:pPr>
        <w:pStyle w:val="ListParagraph"/>
        <w:numPr>
          <w:ilvl w:val="0"/>
          <w:numId w:val="95"/>
        </w:numPr>
        <w:spacing w:after="120"/>
        <w:ind w:left="709" w:hanging="709"/>
        <w:jc w:val="both"/>
        <w:rPr>
          <w:bCs/>
        </w:rPr>
      </w:pPr>
      <w:r w:rsidRPr="00197B66">
        <w:rPr>
          <w:bCs/>
        </w:rPr>
        <w:t xml:space="preserve">The forecast </w:t>
      </w:r>
      <w:r w:rsidR="005E5177">
        <w:rPr>
          <w:bCs/>
        </w:rPr>
        <w:t>variance</w:t>
      </w:r>
      <w:r w:rsidRPr="00197B66">
        <w:rPr>
          <w:bCs/>
        </w:rPr>
        <w:t xml:space="preserve"> is </w:t>
      </w:r>
      <w:r w:rsidR="00F2020C" w:rsidRPr="00197B66">
        <w:rPr>
          <w:bCs/>
        </w:rPr>
        <w:t>(</w:t>
      </w:r>
      <w:r w:rsidRPr="00197B66">
        <w:rPr>
          <w:bCs/>
        </w:rPr>
        <w:t>£</w:t>
      </w:r>
      <w:r w:rsidR="008442F1" w:rsidRPr="00197B66">
        <w:rPr>
          <w:bCs/>
        </w:rPr>
        <w:t>8.</w:t>
      </w:r>
      <w:r w:rsidR="00197B66" w:rsidRPr="000A2CF3">
        <w:rPr>
          <w:bCs/>
        </w:rPr>
        <w:t>947</w:t>
      </w:r>
      <w:r w:rsidRPr="00197B66">
        <w:rPr>
          <w:bCs/>
        </w:rPr>
        <w:t>m</w:t>
      </w:r>
      <w:r w:rsidR="00F2020C" w:rsidRPr="00197B66">
        <w:rPr>
          <w:bCs/>
        </w:rPr>
        <w:t>)</w:t>
      </w:r>
      <w:r w:rsidRPr="00197B66">
        <w:rPr>
          <w:bCs/>
        </w:rPr>
        <w:t xml:space="preserve"> of which</w:t>
      </w:r>
      <w:r w:rsidR="008442F1" w:rsidRPr="00197B66">
        <w:rPr>
          <w:bCs/>
        </w:rPr>
        <w:t xml:space="preserve"> £8.</w:t>
      </w:r>
      <w:r w:rsidR="00197B66" w:rsidRPr="000A2CF3">
        <w:rPr>
          <w:bCs/>
        </w:rPr>
        <w:t>815</w:t>
      </w:r>
      <w:r w:rsidR="008442F1" w:rsidRPr="00197B66">
        <w:rPr>
          <w:bCs/>
        </w:rPr>
        <w:t>m</w:t>
      </w:r>
      <w:r w:rsidRPr="00197B66">
        <w:rPr>
          <w:bCs/>
        </w:rPr>
        <w:t xml:space="preserve"> </w:t>
      </w:r>
      <w:r w:rsidR="00F123B5" w:rsidRPr="00197B66">
        <w:rPr>
          <w:bCs/>
        </w:rPr>
        <w:t xml:space="preserve">will be </w:t>
      </w:r>
      <w:r w:rsidR="00F123B5" w:rsidRPr="00CA10B9">
        <w:rPr>
          <w:bCs/>
        </w:rPr>
        <w:t xml:space="preserve">slipped </w:t>
      </w:r>
      <w:r w:rsidRPr="00CA10B9">
        <w:rPr>
          <w:bCs/>
        </w:rPr>
        <w:t>to 2018</w:t>
      </w:r>
      <w:r w:rsidR="00CC2689">
        <w:rPr>
          <w:bCs/>
        </w:rPr>
        <w:t>/</w:t>
      </w:r>
      <w:r w:rsidRPr="00CA10B9">
        <w:rPr>
          <w:bCs/>
        </w:rPr>
        <w:t>19</w:t>
      </w:r>
      <w:r w:rsidR="008442F1" w:rsidRPr="00CA10B9">
        <w:rPr>
          <w:bCs/>
        </w:rPr>
        <w:t xml:space="preserve"> and £0.</w:t>
      </w:r>
      <w:r w:rsidR="00197B66" w:rsidRPr="000A2CF3">
        <w:rPr>
          <w:bCs/>
        </w:rPr>
        <w:t>131</w:t>
      </w:r>
      <w:r w:rsidR="008442F1" w:rsidRPr="00CA10B9">
        <w:rPr>
          <w:bCs/>
        </w:rPr>
        <w:t>m budget is no longer needed.</w:t>
      </w:r>
    </w:p>
    <w:p w14:paraId="71EF4675" w14:textId="3263C32B" w:rsidR="00F6323D" w:rsidRPr="000A3C5C" w:rsidRDefault="00BF6C2C" w:rsidP="000A2CF3">
      <w:pPr>
        <w:pStyle w:val="ListParagraph"/>
        <w:numPr>
          <w:ilvl w:val="0"/>
          <w:numId w:val="95"/>
        </w:numPr>
        <w:spacing w:after="120"/>
        <w:ind w:left="709" w:hanging="709"/>
        <w:jc w:val="both"/>
        <w:rPr>
          <w:bCs/>
        </w:rPr>
      </w:pPr>
      <w:r w:rsidRPr="00CA10B9">
        <w:rPr>
          <w:bCs/>
        </w:rPr>
        <w:t>B</w:t>
      </w:r>
      <w:r w:rsidR="009965E3" w:rsidRPr="00CA10B9">
        <w:rPr>
          <w:bCs/>
        </w:rPr>
        <w:t>udget of £</w:t>
      </w:r>
      <w:r w:rsidR="00197B66" w:rsidRPr="000A2CF3">
        <w:rPr>
          <w:bCs/>
        </w:rPr>
        <w:t>8.815</w:t>
      </w:r>
      <w:r w:rsidR="009965E3" w:rsidRPr="00CA10B9">
        <w:rPr>
          <w:bCs/>
        </w:rPr>
        <w:t xml:space="preserve">m </w:t>
      </w:r>
      <w:r w:rsidR="00197B66" w:rsidRPr="000A2CF3">
        <w:rPr>
          <w:bCs/>
        </w:rPr>
        <w:t xml:space="preserve">is </w:t>
      </w:r>
      <w:r w:rsidR="009965E3" w:rsidRPr="00CA10B9">
        <w:rPr>
          <w:bCs/>
        </w:rPr>
        <w:t>for the</w:t>
      </w:r>
      <w:r w:rsidR="00CD1E96">
        <w:rPr>
          <w:bCs/>
        </w:rPr>
        <w:t xml:space="preserve"> 50</w:t>
      </w:r>
      <w:r w:rsidR="009965E3" w:rsidRPr="00CA10B9">
        <w:rPr>
          <w:bCs/>
        </w:rPr>
        <w:t xml:space="preserve"> </w:t>
      </w:r>
      <w:r w:rsidR="00197B66" w:rsidRPr="000A2CF3">
        <w:rPr>
          <w:bCs/>
        </w:rPr>
        <w:t xml:space="preserve">additional properties under </w:t>
      </w:r>
      <w:r w:rsidR="00CD1E96">
        <w:rPr>
          <w:bCs/>
        </w:rPr>
        <w:t xml:space="preserve">the </w:t>
      </w:r>
      <w:r w:rsidR="009965E3" w:rsidRPr="00CA10B9">
        <w:rPr>
          <w:bCs/>
        </w:rPr>
        <w:t>propert</w:t>
      </w:r>
      <w:r w:rsidR="00197B66" w:rsidRPr="000A2CF3">
        <w:rPr>
          <w:bCs/>
        </w:rPr>
        <w:t xml:space="preserve">y acquisition programme it </w:t>
      </w:r>
      <w:r w:rsidR="009965E3" w:rsidRPr="00CA10B9">
        <w:rPr>
          <w:bCs/>
        </w:rPr>
        <w:t>is assumed</w:t>
      </w:r>
      <w:r w:rsidR="00197B66" w:rsidRPr="000A2CF3">
        <w:rPr>
          <w:bCs/>
        </w:rPr>
        <w:t xml:space="preserve"> that this budget will be </w:t>
      </w:r>
      <w:r w:rsidR="009965E3" w:rsidRPr="00CA10B9">
        <w:rPr>
          <w:bCs/>
        </w:rPr>
        <w:t>slip to 2018</w:t>
      </w:r>
      <w:r w:rsidR="00CC2689">
        <w:rPr>
          <w:bCs/>
        </w:rPr>
        <w:t>/</w:t>
      </w:r>
      <w:r w:rsidR="009965E3" w:rsidRPr="00CA10B9">
        <w:rPr>
          <w:bCs/>
        </w:rPr>
        <w:t>19</w:t>
      </w:r>
      <w:r w:rsidR="00197B66" w:rsidRPr="000A2CF3">
        <w:rPr>
          <w:bCs/>
        </w:rPr>
        <w:t>.</w:t>
      </w:r>
      <w:r w:rsidR="00C57FBE" w:rsidRPr="00CA10B9">
        <w:rPr>
          <w:bCs/>
        </w:rPr>
        <w:t xml:space="preserve"> </w:t>
      </w:r>
      <w:r w:rsidR="00534ED3" w:rsidRPr="000A2CF3">
        <w:rPr>
          <w:bCs/>
        </w:rPr>
        <w:t xml:space="preserve">The implication of this is the non achievement of </w:t>
      </w:r>
      <w:r w:rsidR="00383BC8" w:rsidRPr="000A2CF3">
        <w:rPr>
          <w:bCs/>
        </w:rPr>
        <w:t xml:space="preserve">the </w:t>
      </w:r>
      <w:r w:rsidR="00383BC8" w:rsidRPr="00CA10B9">
        <w:rPr>
          <w:bCs/>
        </w:rPr>
        <w:t>associated</w:t>
      </w:r>
      <w:r w:rsidR="00F6323D" w:rsidRPr="00CA10B9">
        <w:rPr>
          <w:bCs/>
        </w:rPr>
        <w:t xml:space="preserve"> </w:t>
      </w:r>
      <w:r w:rsidR="00CD1E96">
        <w:rPr>
          <w:bCs/>
        </w:rPr>
        <w:t>B&amp;B</w:t>
      </w:r>
      <w:r w:rsidR="00F6323D" w:rsidRPr="00CA10B9">
        <w:rPr>
          <w:bCs/>
        </w:rPr>
        <w:t xml:space="preserve"> savings assumed </w:t>
      </w:r>
      <w:r w:rsidR="00944483" w:rsidRPr="00CA10B9">
        <w:rPr>
          <w:bCs/>
        </w:rPr>
        <w:t>i</w:t>
      </w:r>
      <w:r w:rsidR="00F6323D" w:rsidRPr="00CA10B9">
        <w:rPr>
          <w:bCs/>
        </w:rPr>
        <w:t>n the MTFS</w:t>
      </w:r>
      <w:r w:rsidR="00CD1E96">
        <w:rPr>
          <w:bCs/>
          <w:color w:val="FF0000"/>
        </w:rPr>
        <w:t xml:space="preserve"> </w:t>
      </w:r>
      <w:r w:rsidR="00CD1E96" w:rsidRPr="000A3C5C">
        <w:rPr>
          <w:bCs/>
        </w:rPr>
        <w:t>which has been addressed through the MTFS re-fresh.</w:t>
      </w:r>
    </w:p>
    <w:p w14:paraId="241DCD7D" w14:textId="38430DA1" w:rsidR="008442F1" w:rsidRPr="00A20A05" w:rsidRDefault="008442F1" w:rsidP="000A2CF3">
      <w:pPr>
        <w:pStyle w:val="ListParagraph"/>
        <w:numPr>
          <w:ilvl w:val="0"/>
          <w:numId w:val="95"/>
        </w:numPr>
        <w:spacing w:after="120"/>
        <w:ind w:left="709" w:hanging="709"/>
        <w:jc w:val="both"/>
        <w:rPr>
          <w:bCs/>
        </w:rPr>
      </w:pPr>
      <w:r w:rsidRPr="00CA10B9">
        <w:rPr>
          <w:bCs/>
        </w:rPr>
        <w:t xml:space="preserve">Empty Property Grants </w:t>
      </w:r>
      <w:r w:rsidR="00534ED3" w:rsidRPr="000A2CF3">
        <w:rPr>
          <w:bCs/>
        </w:rPr>
        <w:t xml:space="preserve">is </w:t>
      </w:r>
      <w:r w:rsidRPr="00CA10B9">
        <w:rPr>
          <w:bCs/>
        </w:rPr>
        <w:t>expected to under spend £</w:t>
      </w:r>
      <w:r w:rsidR="00197B66" w:rsidRPr="000A2CF3">
        <w:rPr>
          <w:bCs/>
        </w:rPr>
        <w:t>0.131m</w:t>
      </w:r>
      <w:r w:rsidR="000C0919" w:rsidRPr="00CA10B9">
        <w:rPr>
          <w:bCs/>
        </w:rPr>
        <w:t>;</w:t>
      </w:r>
      <w:r w:rsidR="00534ED3" w:rsidRPr="000A2CF3">
        <w:rPr>
          <w:bCs/>
        </w:rPr>
        <w:t xml:space="preserve"> </w:t>
      </w:r>
      <w:r w:rsidR="000C0919" w:rsidRPr="00CA10B9">
        <w:rPr>
          <w:bCs/>
        </w:rPr>
        <w:t>this will</w:t>
      </w:r>
      <w:r w:rsidR="00CA10B9" w:rsidRPr="000A2CF3">
        <w:rPr>
          <w:bCs/>
        </w:rPr>
        <w:t xml:space="preserve"> </w:t>
      </w:r>
      <w:r w:rsidRPr="00CA10B9">
        <w:rPr>
          <w:bCs/>
        </w:rPr>
        <w:t>result in fewer private rented dwellings becoming available to accommodate</w:t>
      </w:r>
      <w:r w:rsidR="00534ED3" w:rsidRPr="000A2CF3">
        <w:rPr>
          <w:bCs/>
        </w:rPr>
        <w:t xml:space="preserve"> </w:t>
      </w:r>
      <w:r w:rsidRPr="00CA10B9">
        <w:rPr>
          <w:bCs/>
        </w:rPr>
        <w:t>homeless households adversely impacting homelessness expenditure.</w:t>
      </w:r>
      <w:r w:rsidR="00C5236A" w:rsidRPr="00CA10B9">
        <w:t xml:space="preserve"> </w:t>
      </w:r>
      <w:r w:rsidR="00C5236A" w:rsidRPr="00CA10B9">
        <w:rPr>
          <w:bCs/>
        </w:rPr>
        <w:t>EPG spend is restricted by availability of suitable properties and completion of works, together with delays in securing funding from private land lords.</w:t>
      </w:r>
      <w:r w:rsidR="00961E8D">
        <w:rPr>
          <w:bCs/>
          <w:color w:val="FF0000"/>
        </w:rPr>
        <w:t xml:space="preserve"> </w:t>
      </w:r>
    </w:p>
    <w:p w14:paraId="7CBB7862" w14:textId="77777777" w:rsidR="009718B5" w:rsidRDefault="009718B5" w:rsidP="00BB0A57">
      <w:pPr>
        <w:ind w:firstLine="709"/>
        <w:rPr>
          <w:b/>
          <w:bCs/>
          <w:highlight w:val="yellow"/>
          <w:u w:val="single"/>
        </w:rPr>
      </w:pPr>
    </w:p>
    <w:p w14:paraId="359F2715" w14:textId="77777777" w:rsidR="003D0738" w:rsidRPr="00CB1B58" w:rsidRDefault="003D0738" w:rsidP="00BB0A57">
      <w:pPr>
        <w:ind w:firstLine="709"/>
        <w:rPr>
          <w:b/>
          <w:bCs/>
          <w:highlight w:val="yellow"/>
          <w:u w:val="single"/>
        </w:rPr>
      </w:pPr>
    </w:p>
    <w:p w14:paraId="7A6E7946" w14:textId="1B8F27D3" w:rsidR="000A63BB" w:rsidRPr="008442F1" w:rsidRDefault="000A63BB" w:rsidP="00BB0A57">
      <w:pPr>
        <w:ind w:firstLine="709"/>
        <w:rPr>
          <w:b/>
          <w:bCs/>
          <w:u w:val="single"/>
        </w:rPr>
      </w:pPr>
      <w:r w:rsidRPr="008442F1">
        <w:rPr>
          <w:b/>
          <w:bCs/>
          <w:u w:val="single"/>
        </w:rPr>
        <w:t>PEOPLE</w:t>
      </w:r>
    </w:p>
    <w:p w14:paraId="6D9AE1AA" w14:textId="77777777" w:rsidR="00DB2E72" w:rsidRPr="008442F1" w:rsidRDefault="00DB2E72" w:rsidP="00BB0A57">
      <w:pPr>
        <w:spacing w:after="120"/>
        <w:jc w:val="both"/>
        <w:rPr>
          <w:b/>
          <w:bCs/>
        </w:rPr>
      </w:pPr>
    </w:p>
    <w:p w14:paraId="276F0D32" w14:textId="7C5A5D18" w:rsidR="000A63BB" w:rsidRPr="008442F1" w:rsidRDefault="000A63BB" w:rsidP="000A2CF3">
      <w:pPr>
        <w:pStyle w:val="ListParagraph"/>
        <w:numPr>
          <w:ilvl w:val="0"/>
          <w:numId w:val="95"/>
        </w:numPr>
        <w:spacing w:after="120"/>
        <w:ind w:left="709" w:hanging="709"/>
        <w:jc w:val="both"/>
        <w:rPr>
          <w:bCs/>
        </w:rPr>
      </w:pPr>
      <w:r w:rsidRPr="008442F1">
        <w:rPr>
          <w:bCs/>
        </w:rPr>
        <w:t xml:space="preserve">At Quarter </w:t>
      </w:r>
      <w:r w:rsidR="00386BD8">
        <w:rPr>
          <w:bCs/>
        </w:rPr>
        <w:t>3</w:t>
      </w:r>
      <w:r w:rsidRPr="008442F1">
        <w:rPr>
          <w:bCs/>
        </w:rPr>
        <w:t xml:space="preserve"> the forecast spend is £2</w:t>
      </w:r>
      <w:r w:rsidR="00386BD8">
        <w:rPr>
          <w:bCs/>
        </w:rPr>
        <w:t>3.462</w:t>
      </w:r>
      <w:r w:rsidRPr="008442F1">
        <w:rPr>
          <w:bCs/>
        </w:rPr>
        <w:t>m, 7</w:t>
      </w:r>
      <w:r w:rsidR="00386BD8">
        <w:rPr>
          <w:bCs/>
        </w:rPr>
        <w:t>0</w:t>
      </w:r>
      <w:r w:rsidRPr="008442F1">
        <w:rPr>
          <w:bCs/>
        </w:rPr>
        <w:t xml:space="preserve">% of the 2017/18 </w:t>
      </w:r>
      <w:r w:rsidRPr="008442F1">
        <w:rPr>
          <w:bCs/>
        </w:rPr>
        <w:tab/>
        <w:t>People’s directorate capital budget.</w:t>
      </w:r>
    </w:p>
    <w:p w14:paraId="1872D28C" w14:textId="568EBBEB" w:rsidR="006E19E9" w:rsidRPr="008442F1" w:rsidRDefault="000A63BB" w:rsidP="000A2CF3">
      <w:pPr>
        <w:pStyle w:val="ListParagraph"/>
        <w:numPr>
          <w:ilvl w:val="0"/>
          <w:numId w:val="95"/>
        </w:numPr>
        <w:spacing w:after="120"/>
        <w:ind w:left="709" w:hanging="709"/>
        <w:jc w:val="both"/>
        <w:rPr>
          <w:bCs/>
          <w:sz w:val="20"/>
          <w:u w:val="single"/>
        </w:rPr>
      </w:pPr>
      <w:r w:rsidRPr="008442F1">
        <w:rPr>
          <w:bCs/>
        </w:rPr>
        <w:t xml:space="preserve">The forecast under </w:t>
      </w:r>
      <w:r w:rsidR="005E5177">
        <w:rPr>
          <w:bCs/>
        </w:rPr>
        <w:t>variance</w:t>
      </w:r>
      <w:r w:rsidRPr="008442F1">
        <w:rPr>
          <w:bCs/>
        </w:rPr>
        <w:t xml:space="preserve"> </w:t>
      </w:r>
      <w:r w:rsidR="001662B8">
        <w:rPr>
          <w:bCs/>
        </w:rPr>
        <w:t>of</w:t>
      </w:r>
      <w:r w:rsidRPr="008442F1">
        <w:rPr>
          <w:bCs/>
        </w:rPr>
        <w:t xml:space="preserve"> </w:t>
      </w:r>
      <w:r w:rsidR="00C5236A">
        <w:rPr>
          <w:bCs/>
        </w:rPr>
        <w:t>(</w:t>
      </w:r>
      <w:r w:rsidRPr="008442F1">
        <w:rPr>
          <w:bCs/>
        </w:rPr>
        <w:t>£</w:t>
      </w:r>
      <w:r w:rsidR="00386BD8">
        <w:rPr>
          <w:bCs/>
        </w:rPr>
        <w:t>9.945</w:t>
      </w:r>
      <w:r w:rsidRPr="008442F1">
        <w:rPr>
          <w:bCs/>
        </w:rPr>
        <w:t>m</w:t>
      </w:r>
      <w:r w:rsidR="00C5236A">
        <w:rPr>
          <w:bCs/>
        </w:rPr>
        <w:t>)</w:t>
      </w:r>
      <w:r w:rsidR="006E19E9" w:rsidRPr="008442F1">
        <w:rPr>
          <w:bCs/>
        </w:rPr>
        <w:t xml:space="preserve"> </w:t>
      </w:r>
      <w:r w:rsidR="00CC2689">
        <w:rPr>
          <w:bCs/>
        </w:rPr>
        <w:t xml:space="preserve">which </w:t>
      </w:r>
      <w:r w:rsidR="006E19E9" w:rsidRPr="008442F1">
        <w:rPr>
          <w:bCs/>
        </w:rPr>
        <w:t>will</w:t>
      </w:r>
      <w:r w:rsidR="008442F1" w:rsidRPr="00CB1B58">
        <w:rPr>
          <w:bCs/>
        </w:rPr>
        <w:t xml:space="preserve"> </w:t>
      </w:r>
      <w:r w:rsidR="006E19E9" w:rsidRPr="008442F1">
        <w:rPr>
          <w:bCs/>
        </w:rPr>
        <w:t>be slipped to 20</w:t>
      </w:r>
      <w:r w:rsidRPr="008442F1">
        <w:rPr>
          <w:bCs/>
        </w:rPr>
        <w:t>18</w:t>
      </w:r>
      <w:r w:rsidR="006E19E9" w:rsidRPr="008442F1">
        <w:rPr>
          <w:bCs/>
        </w:rPr>
        <w:t>/19</w:t>
      </w:r>
      <w:r w:rsidR="001662B8">
        <w:rPr>
          <w:bCs/>
        </w:rPr>
        <w:t xml:space="preserve"> and £</w:t>
      </w:r>
      <w:r w:rsidR="0075587A">
        <w:rPr>
          <w:bCs/>
        </w:rPr>
        <w:t>0.0</w:t>
      </w:r>
      <w:r w:rsidR="001662B8">
        <w:rPr>
          <w:bCs/>
        </w:rPr>
        <w:t>77</w:t>
      </w:r>
      <w:r w:rsidR="0075587A">
        <w:rPr>
          <w:bCs/>
        </w:rPr>
        <w:t>m</w:t>
      </w:r>
      <w:r w:rsidR="001662B8">
        <w:rPr>
          <w:bCs/>
        </w:rPr>
        <w:t xml:space="preserve"> budget is no longer required</w:t>
      </w:r>
      <w:r w:rsidR="008442F1" w:rsidRPr="00CB1B58">
        <w:rPr>
          <w:bCs/>
        </w:rPr>
        <w:t>.</w:t>
      </w:r>
      <w:r w:rsidRPr="008442F1">
        <w:rPr>
          <w:bCs/>
        </w:rPr>
        <w:t xml:space="preserve"> </w:t>
      </w:r>
    </w:p>
    <w:p w14:paraId="03A5A277" w14:textId="77777777" w:rsidR="003D0738" w:rsidRDefault="003D0738" w:rsidP="00BB0A57">
      <w:pPr>
        <w:pStyle w:val="ListParagraph"/>
        <w:spacing w:after="120"/>
        <w:ind w:left="709"/>
        <w:jc w:val="both"/>
        <w:rPr>
          <w:b/>
          <w:bCs/>
          <w:sz w:val="20"/>
        </w:rPr>
      </w:pPr>
    </w:p>
    <w:p w14:paraId="7F3061F9" w14:textId="15C5DDAF" w:rsidR="000A63BB" w:rsidRPr="008C19B3" w:rsidRDefault="000A63BB" w:rsidP="00BB0A57">
      <w:pPr>
        <w:pStyle w:val="ListParagraph"/>
        <w:spacing w:after="120"/>
        <w:ind w:left="709"/>
        <w:jc w:val="both"/>
        <w:rPr>
          <w:b/>
          <w:bCs/>
          <w:sz w:val="20"/>
        </w:rPr>
      </w:pPr>
      <w:r w:rsidRPr="008C19B3">
        <w:rPr>
          <w:b/>
          <w:bCs/>
          <w:sz w:val="20"/>
        </w:rPr>
        <w:t>ADULT</w:t>
      </w:r>
      <w:r w:rsidR="00B06904" w:rsidRPr="008C19B3">
        <w:rPr>
          <w:b/>
          <w:bCs/>
          <w:sz w:val="20"/>
        </w:rPr>
        <w:t>S</w:t>
      </w:r>
    </w:p>
    <w:p w14:paraId="2132D993" w14:textId="2D99933E" w:rsidR="00B06904" w:rsidRPr="008C19B3" w:rsidRDefault="00B06904" w:rsidP="000A2CF3">
      <w:pPr>
        <w:pStyle w:val="ListParagraph"/>
        <w:numPr>
          <w:ilvl w:val="0"/>
          <w:numId w:val="95"/>
        </w:numPr>
        <w:spacing w:after="120"/>
        <w:ind w:left="709" w:hanging="709"/>
        <w:jc w:val="both"/>
        <w:rPr>
          <w:bCs/>
        </w:rPr>
      </w:pPr>
      <w:r w:rsidRPr="008C19B3">
        <w:rPr>
          <w:bCs/>
        </w:rPr>
        <w:t xml:space="preserve">At Quarter </w:t>
      </w:r>
      <w:r w:rsidR="00386BD8" w:rsidRPr="008C19B3">
        <w:rPr>
          <w:bCs/>
        </w:rPr>
        <w:t>3</w:t>
      </w:r>
      <w:r w:rsidRPr="008C19B3">
        <w:rPr>
          <w:bCs/>
        </w:rPr>
        <w:t xml:space="preserve"> the forecast spent is £</w:t>
      </w:r>
      <w:r w:rsidR="00386BD8" w:rsidRPr="008C19B3">
        <w:rPr>
          <w:bCs/>
        </w:rPr>
        <w:t>7.420</w:t>
      </w:r>
      <w:r w:rsidRPr="008C19B3">
        <w:rPr>
          <w:bCs/>
        </w:rPr>
        <w:t xml:space="preserve">m </w:t>
      </w:r>
      <w:r w:rsidR="006E19E9" w:rsidRPr="008C19B3">
        <w:rPr>
          <w:bCs/>
        </w:rPr>
        <w:t xml:space="preserve">this represents </w:t>
      </w:r>
      <w:r w:rsidR="00386BD8" w:rsidRPr="008C19B3">
        <w:rPr>
          <w:bCs/>
        </w:rPr>
        <w:t>89</w:t>
      </w:r>
      <w:r w:rsidR="006E19E9" w:rsidRPr="008C19B3">
        <w:rPr>
          <w:bCs/>
        </w:rPr>
        <w:t xml:space="preserve">% of the approved </w:t>
      </w:r>
      <w:r w:rsidRPr="008C19B3">
        <w:rPr>
          <w:bCs/>
        </w:rPr>
        <w:t>capital programme.</w:t>
      </w:r>
    </w:p>
    <w:p w14:paraId="2BA50940" w14:textId="0072EB1D" w:rsidR="00386BD8" w:rsidRDefault="00386BD8" w:rsidP="000A2CF3">
      <w:pPr>
        <w:pStyle w:val="ListParagraph"/>
        <w:numPr>
          <w:ilvl w:val="0"/>
          <w:numId w:val="95"/>
        </w:numPr>
        <w:spacing w:after="120"/>
        <w:ind w:left="709" w:hanging="709"/>
        <w:jc w:val="both"/>
        <w:rPr>
          <w:bCs/>
        </w:rPr>
      </w:pPr>
      <w:r w:rsidRPr="008C19B3">
        <w:rPr>
          <w:bCs/>
        </w:rPr>
        <w:t xml:space="preserve">The forecast </w:t>
      </w:r>
      <w:r w:rsidR="005E5177">
        <w:rPr>
          <w:bCs/>
        </w:rPr>
        <w:t>variance</w:t>
      </w:r>
      <w:r w:rsidRPr="008C19B3">
        <w:rPr>
          <w:bCs/>
        </w:rPr>
        <w:t xml:space="preserve"> is (£</w:t>
      </w:r>
      <w:r w:rsidR="00AC14C2" w:rsidRPr="008C19B3">
        <w:rPr>
          <w:bCs/>
        </w:rPr>
        <w:t>0.873</w:t>
      </w:r>
      <w:r w:rsidRPr="008C19B3">
        <w:rPr>
          <w:bCs/>
        </w:rPr>
        <w:t xml:space="preserve">m), </w:t>
      </w:r>
      <w:r w:rsidR="00AC14C2" w:rsidRPr="008C19B3">
        <w:rPr>
          <w:bCs/>
        </w:rPr>
        <w:t xml:space="preserve">of which </w:t>
      </w:r>
      <w:r w:rsidRPr="008C19B3">
        <w:rPr>
          <w:bCs/>
        </w:rPr>
        <w:t>£</w:t>
      </w:r>
      <w:r w:rsidR="00AC14C2" w:rsidRPr="008C19B3">
        <w:rPr>
          <w:bCs/>
        </w:rPr>
        <w:t>0</w:t>
      </w:r>
      <w:r w:rsidRPr="008C19B3">
        <w:rPr>
          <w:bCs/>
        </w:rPr>
        <w:t>.</w:t>
      </w:r>
      <w:r w:rsidR="00AC14C2" w:rsidRPr="008C19B3">
        <w:rPr>
          <w:bCs/>
        </w:rPr>
        <w:t>796</w:t>
      </w:r>
      <w:r w:rsidRPr="008C19B3">
        <w:rPr>
          <w:bCs/>
        </w:rPr>
        <w:t xml:space="preserve">m will </w:t>
      </w:r>
      <w:r w:rsidR="00AC14C2" w:rsidRPr="008C19B3">
        <w:rPr>
          <w:bCs/>
        </w:rPr>
        <w:t xml:space="preserve">be slipped </w:t>
      </w:r>
      <w:r w:rsidR="00CC2689">
        <w:rPr>
          <w:bCs/>
        </w:rPr>
        <w:t>to 2018/</w:t>
      </w:r>
      <w:r w:rsidR="00AC14C2" w:rsidRPr="008C19B3">
        <w:rPr>
          <w:bCs/>
        </w:rPr>
        <w:t>19</w:t>
      </w:r>
      <w:r w:rsidR="00B42EF3">
        <w:rPr>
          <w:bCs/>
        </w:rPr>
        <w:t xml:space="preserve">, with </w:t>
      </w:r>
      <w:r w:rsidR="00AC14C2" w:rsidRPr="008C19B3">
        <w:rPr>
          <w:bCs/>
        </w:rPr>
        <w:t>£</w:t>
      </w:r>
      <w:r w:rsidR="0075587A">
        <w:rPr>
          <w:bCs/>
        </w:rPr>
        <w:t>0.0</w:t>
      </w:r>
      <w:r w:rsidR="00AC14C2" w:rsidRPr="008C19B3">
        <w:rPr>
          <w:bCs/>
        </w:rPr>
        <w:t>77</w:t>
      </w:r>
      <w:r w:rsidR="0075587A">
        <w:rPr>
          <w:bCs/>
        </w:rPr>
        <w:t>m</w:t>
      </w:r>
      <w:r w:rsidRPr="008C19B3">
        <w:rPr>
          <w:bCs/>
        </w:rPr>
        <w:t xml:space="preserve"> no longer </w:t>
      </w:r>
      <w:r w:rsidR="00B42EF3">
        <w:rPr>
          <w:bCs/>
        </w:rPr>
        <w:t>required</w:t>
      </w:r>
      <w:r w:rsidR="008C19B3">
        <w:rPr>
          <w:bCs/>
        </w:rPr>
        <w:t>.</w:t>
      </w:r>
    </w:p>
    <w:p w14:paraId="50EA63C7" w14:textId="53B259C7" w:rsidR="008C19B3" w:rsidRDefault="00FA11DA" w:rsidP="000A2CF3">
      <w:pPr>
        <w:pStyle w:val="ListParagraph"/>
        <w:numPr>
          <w:ilvl w:val="0"/>
          <w:numId w:val="95"/>
        </w:numPr>
        <w:spacing w:after="120"/>
        <w:ind w:left="709" w:hanging="709"/>
        <w:jc w:val="both"/>
        <w:rPr>
          <w:bCs/>
        </w:rPr>
      </w:pPr>
      <w:r w:rsidRPr="000A2CF3">
        <w:rPr>
          <w:bCs/>
        </w:rPr>
        <w:t xml:space="preserve">The secure NHS network connection (N3) </w:t>
      </w:r>
      <w:r w:rsidR="008C19B3" w:rsidRPr="000C0919">
        <w:rPr>
          <w:bCs/>
        </w:rPr>
        <w:t xml:space="preserve">under </w:t>
      </w:r>
      <w:r w:rsidRPr="000A2CF3">
        <w:rPr>
          <w:bCs/>
        </w:rPr>
        <w:t xml:space="preserve">the </w:t>
      </w:r>
      <w:r w:rsidR="008C19B3" w:rsidRPr="000C0919">
        <w:rPr>
          <w:bCs/>
        </w:rPr>
        <w:t xml:space="preserve">Integrated Health Model Implementation </w:t>
      </w:r>
      <w:r w:rsidRPr="000A2CF3">
        <w:rPr>
          <w:bCs/>
        </w:rPr>
        <w:t xml:space="preserve">project will </w:t>
      </w:r>
      <w:r w:rsidR="008C19B3" w:rsidRPr="000C0919">
        <w:rPr>
          <w:bCs/>
        </w:rPr>
        <w:t xml:space="preserve">slip </w:t>
      </w:r>
      <w:r w:rsidR="00B42EF3" w:rsidRPr="000A2CF3">
        <w:rPr>
          <w:bCs/>
        </w:rPr>
        <w:t>£</w:t>
      </w:r>
      <w:r w:rsidR="0075587A">
        <w:rPr>
          <w:bCs/>
        </w:rPr>
        <w:t>0.</w:t>
      </w:r>
      <w:r w:rsidR="00B42EF3" w:rsidRPr="000A2CF3">
        <w:rPr>
          <w:bCs/>
        </w:rPr>
        <w:t>241</w:t>
      </w:r>
      <w:r w:rsidR="0075587A">
        <w:rPr>
          <w:bCs/>
        </w:rPr>
        <w:t>m</w:t>
      </w:r>
      <w:r w:rsidR="00B42EF3" w:rsidRPr="000A2CF3">
        <w:rPr>
          <w:bCs/>
        </w:rPr>
        <w:t xml:space="preserve"> </w:t>
      </w:r>
      <w:r w:rsidR="008C19B3" w:rsidRPr="000C0919">
        <w:rPr>
          <w:bCs/>
        </w:rPr>
        <w:t>into 2018/19.</w:t>
      </w:r>
      <w:r w:rsidR="008C19B3" w:rsidRPr="008C19B3">
        <w:rPr>
          <w:bCs/>
        </w:rPr>
        <w:t xml:space="preserve"> This relates to improvement of business processes </w:t>
      </w:r>
      <w:r>
        <w:rPr>
          <w:bCs/>
        </w:rPr>
        <w:t xml:space="preserve">(not </w:t>
      </w:r>
      <w:r w:rsidR="008C19B3" w:rsidRPr="008C19B3">
        <w:rPr>
          <w:bCs/>
        </w:rPr>
        <w:t xml:space="preserve">linked to MTFS </w:t>
      </w:r>
      <w:r>
        <w:rPr>
          <w:bCs/>
        </w:rPr>
        <w:t>savings</w:t>
      </w:r>
      <w:r w:rsidR="00FB7B2D">
        <w:rPr>
          <w:bCs/>
        </w:rPr>
        <w:t xml:space="preserve">). </w:t>
      </w:r>
    </w:p>
    <w:p w14:paraId="2B5BE7A9" w14:textId="5B7FAB8C" w:rsidR="008C19B3" w:rsidRPr="000A2CF3" w:rsidRDefault="008C19B3" w:rsidP="000A2CF3">
      <w:pPr>
        <w:pStyle w:val="ListParagraph"/>
        <w:numPr>
          <w:ilvl w:val="0"/>
          <w:numId w:val="95"/>
        </w:numPr>
        <w:spacing w:after="120"/>
        <w:ind w:left="709" w:hanging="709"/>
        <w:jc w:val="both"/>
        <w:rPr>
          <w:bCs/>
          <w:color w:val="FF0000"/>
        </w:rPr>
      </w:pPr>
      <w:r w:rsidRPr="008C19B3">
        <w:rPr>
          <w:bCs/>
        </w:rPr>
        <w:t xml:space="preserve">Project Infinity anticipated </w:t>
      </w:r>
      <w:r w:rsidR="00A805B2">
        <w:rPr>
          <w:bCs/>
        </w:rPr>
        <w:t>spending</w:t>
      </w:r>
      <w:r w:rsidR="00CC2689">
        <w:rPr>
          <w:bCs/>
        </w:rPr>
        <w:t xml:space="preserve"> £</w:t>
      </w:r>
      <w:r w:rsidR="0075587A">
        <w:rPr>
          <w:bCs/>
        </w:rPr>
        <w:t>0.0</w:t>
      </w:r>
      <w:r w:rsidR="00CC2689">
        <w:rPr>
          <w:bCs/>
        </w:rPr>
        <w:t>130</w:t>
      </w:r>
      <w:r w:rsidR="0075587A">
        <w:rPr>
          <w:bCs/>
        </w:rPr>
        <w:t>m</w:t>
      </w:r>
      <w:r w:rsidR="00CC2689">
        <w:rPr>
          <w:bCs/>
        </w:rPr>
        <w:t xml:space="preserve"> by year-end 2017/</w:t>
      </w:r>
      <w:r w:rsidRPr="008C19B3">
        <w:rPr>
          <w:bCs/>
        </w:rPr>
        <w:t>2018</w:t>
      </w:r>
      <w:r w:rsidR="00CC753D">
        <w:rPr>
          <w:bCs/>
        </w:rPr>
        <w:t xml:space="preserve">, requiring </w:t>
      </w:r>
      <w:r w:rsidRPr="008C19B3">
        <w:rPr>
          <w:bCs/>
        </w:rPr>
        <w:t>£</w:t>
      </w:r>
      <w:r w:rsidR="0075587A">
        <w:rPr>
          <w:bCs/>
        </w:rPr>
        <w:t>0.</w:t>
      </w:r>
      <w:r w:rsidRPr="008C19B3">
        <w:rPr>
          <w:bCs/>
        </w:rPr>
        <w:t>370</w:t>
      </w:r>
      <w:r w:rsidR="0075587A">
        <w:rPr>
          <w:bCs/>
        </w:rPr>
        <w:t>m</w:t>
      </w:r>
      <w:r w:rsidRPr="008C19B3">
        <w:rPr>
          <w:bCs/>
        </w:rPr>
        <w:t xml:space="preserve"> </w:t>
      </w:r>
      <w:r w:rsidR="00CC753D">
        <w:rPr>
          <w:bCs/>
        </w:rPr>
        <w:t xml:space="preserve">to be </w:t>
      </w:r>
      <w:r w:rsidRPr="008C19B3">
        <w:rPr>
          <w:bCs/>
        </w:rPr>
        <w:t>slipp</w:t>
      </w:r>
      <w:r w:rsidR="00CC753D">
        <w:rPr>
          <w:bCs/>
        </w:rPr>
        <w:t>ed</w:t>
      </w:r>
      <w:r w:rsidRPr="008C19B3">
        <w:rPr>
          <w:bCs/>
        </w:rPr>
        <w:t xml:space="preserve"> into 2018-19 </w:t>
      </w:r>
      <w:r w:rsidR="00CC753D">
        <w:rPr>
          <w:bCs/>
        </w:rPr>
        <w:t xml:space="preserve">to fund further commercial and </w:t>
      </w:r>
      <w:r w:rsidRPr="008C19B3">
        <w:rPr>
          <w:bCs/>
        </w:rPr>
        <w:t>interface development. New fund</w:t>
      </w:r>
      <w:r w:rsidR="00CC2689">
        <w:rPr>
          <w:bCs/>
        </w:rPr>
        <w:t>ing of £</w:t>
      </w:r>
      <w:r w:rsidR="0075587A">
        <w:rPr>
          <w:bCs/>
        </w:rPr>
        <w:t>0.</w:t>
      </w:r>
      <w:r w:rsidR="00CC2689">
        <w:rPr>
          <w:bCs/>
        </w:rPr>
        <w:t>100</w:t>
      </w:r>
      <w:r w:rsidR="0075587A">
        <w:rPr>
          <w:bCs/>
        </w:rPr>
        <w:t>m</w:t>
      </w:r>
      <w:r w:rsidR="00CC2689">
        <w:rPr>
          <w:bCs/>
        </w:rPr>
        <w:t xml:space="preserve"> is planned in 2018/</w:t>
      </w:r>
      <w:r w:rsidRPr="008C19B3">
        <w:rPr>
          <w:bCs/>
        </w:rPr>
        <w:t>2019 resulting in a total budget of £</w:t>
      </w:r>
      <w:r w:rsidR="0075587A">
        <w:rPr>
          <w:bCs/>
        </w:rPr>
        <w:t>0.</w:t>
      </w:r>
      <w:r w:rsidRPr="008C19B3">
        <w:rPr>
          <w:bCs/>
        </w:rPr>
        <w:t>470</w:t>
      </w:r>
      <w:r w:rsidR="0075587A">
        <w:rPr>
          <w:bCs/>
        </w:rPr>
        <w:t>m</w:t>
      </w:r>
      <w:r w:rsidRPr="008C19B3">
        <w:rPr>
          <w:bCs/>
        </w:rPr>
        <w:t xml:space="preserve">. The impact of this activity will maximise </w:t>
      </w:r>
      <w:r w:rsidR="0002389B">
        <w:rPr>
          <w:bCs/>
        </w:rPr>
        <w:t xml:space="preserve">the </w:t>
      </w:r>
      <w:r w:rsidRPr="008C19B3">
        <w:rPr>
          <w:bCs/>
        </w:rPr>
        <w:t xml:space="preserve">commercial </w:t>
      </w:r>
      <w:r w:rsidR="0002389B">
        <w:rPr>
          <w:bCs/>
        </w:rPr>
        <w:t xml:space="preserve">income </w:t>
      </w:r>
      <w:r w:rsidRPr="008C19B3">
        <w:rPr>
          <w:bCs/>
        </w:rPr>
        <w:t>potential and improve business processes</w:t>
      </w:r>
      <w:r w:rsidR="0002389B">
        <w:rPr>
          <w:bCs/>
        </w:rPr>
        <w:t xml:space="preserve"> and would allow, subject to relevant scrutiny in relation to on</w:t>
      </w:r>
      <w:r w:rsidR="00A20A05">
        <w:rPr>
          <w:bCs/>
        </w:rPr>
        <w:t>-</w:t>
      </w:r>
      <w:r w:rsidR="0002389B">
        <w:rPr>
          <w:bCs/>
        </w:rPr>
        <w:t xml:space="preserve">going income streams, </w:t>
      </w:r>
      <w:r w:rsidR="00B42EF3">
        <w:rPr>
          <w:bCs/>
        </w:rPr>
        <w:t xml:space="preserve">MTFS savings (taken out of the budget as a prudent measure to de-risk the financial position) </w:t>
      </w:r>
      <w:r w:rsidR="0002389B">
        <w:rPr>
          <w:bCs/>
        </w:rPr>
        <w:t>to be reinstated.</w:t>
      </w:r>
    </w:p>
    <w:p w14:paraId="5216A180" w14:textId="18218207" w:rsidR="008C19B3" w:rsidRPr="000C0919" w:rsidRDefault="009D68B1" w:rsidP="000A2CF3">
      <w:pPr>
        <w:pStyle w:val="ListParagraph"/>
        <w:numPr>
          <w:ilvl w:val="0"/>
          <w:numId w:val="95"/>
        </w:numPr>
        <w:spacing w:after="120"/>
        <w:ind w:left="709" w:hanging="709"/>
        <w:jc w:val="both"/>
        <w:rPr>
          <w:bCs/>
        </w:rPr>
      </w:pPr>
      <w:r w:rsidRPr="000A2CF3">
        <w:rPr>
          <w:bCs/>
        </w:rPr>
        <w:t xml:space="preserve">Expenditure on the </w:t>
      </w:r>
      <w:r w:rsidR="008C19B3" w:rsidRPr="000C0919">
        <w:rPr>
          <w:bCs/>
        </w:rPr>
        <w:t xml:space="preserve">Mentis Pilot </w:t>
      </w:r>
      <w:r w:rsidRPr="000A2CF3">
        <w:rPr>
          <w:bCs/>
        </w:rPr>
        <w:t>will not be required at the level originally anticipated for 2017/18</w:t>
      </w:r>
      <w:r w:rsidR="00FB7B2D">
        <w:rPr>
          <w:bCs/>
        </w:rPr>
        <w:t>.</w:t>
      </w:r>
      <w:r w:rsidRPr="000A2CF3">
        <w:rPr>
          <w:bCs/>
        </w:rPr>
        <w:t xml:space="preserve">  As a result, the unspent provision of </w:t>
      </w:r>
      <w:r w:rsidR="008C19B3" w:rsidRPr="000C0919">
        <w:rPr>
          <w:bCs/>
        </w:rPr>
        <w:t>£</w:t>
      </w:r>
      <w:r w:rsidR="0075587A">
        <w:rPr>
          <w:bCs/>
        </w:rPr>
        <w:t>0.</w:t>
      </w:r>
      <w:r w:rsidR="008C19B3" w:rsidRPr="000C0919">
        <w:rPr>
          <w:bCs/>
        </w:rPr>
        <w:t>241</w:t>
      </w:r>
      <w:r w:rsidR="0075587A">
        <w:rPr>
          <w:bCs/>
        </w:rPr>
        <w:t>m</w:t>
      </w:r>
      <w:r w:rsidR="008C19B3" w:rsidRPr="000C0919">
        <w:rPr>
          <w:bCs/>
        </w:rPr>
        <w:t xml:space="preserve"> </w:t>
      </w:r>
      <w:r w:rsidRPr="000A2CF3">
        <w:rPr>
          <w:bCs/>
        </w:rPr>
        <w:t xml:space="preserve">will be </w:t>
      </w:r>
      <w:r w:rsidR="008C19B3" w:rsidRPr="000C0919">
        <w:rPr>
          <w:bCs/>
        </w:rPr>
        <w:t>slipp</w:t>
      </w:r>
      <w:r w:rsidRPr="000A2CF3">
        <w:rPr>
          <w:bCs/>
        </w:rPr>
        <w:t>ed</w:t>
      </w:r>
      <w:r w:rsidR="008C19B3" w:rsidRPr="000C0919">
        <w:rPr>
          <w:bCs/>
        </w:rPr>
        <w:t xml:space="preserve"> into 2018/19 to fund any additional further capit</w:t>
      </w:r>
      <w:r w:rsidR="00CC2689" w:rsidRPr="000A2CF3">
        <w:rPr>
          <w:bCs/>
        </w:rPr>
        <w:t>al works</w:t>
      </w:r>
      <w:r w:rsidRPr="000A2CF3">
        <w:rPr>
          <w:bCs/>
        </w:rPr>
        <w:t xml:space="preserve"> which may be considered necessary to support delivery of the MTFS savings of £</w:t>
      </w:r>
      <w:r w:rsidR="0075587A">
        <w:rPr>
          <w:bCs/>
        </w:rPr>
        <w:t>0.</w:t>
      </w:r>
      <w:r w:rsidRPr="000A2CF3">
        <w:rPr>
          <w:bCs/>
        </w:rPr>
        <w:t>184</w:t>
      </w:r>
      <w:r w:rsidR="0075587A">
        <w:rPr>
          <w:bCs/>
        </w:rPr>
        <w:t>m</w:t>
      </w:r>
      <w:r w:rsidR="00CC2689" w:rsidRPr="000A2CF3">
        <w:rPr>
          <w:bCs/>
        </w:rPr>
        <w:t xml:space="preserve">. </w:t>
      </w:r>
      <w:r w:rsidR="00B60497">
        <w:rPr>
          <w:bCs/>
        </w:rPr>
        <w:t>There will be no revenue implication as a result of the £</w:t>
      </w:r>
      <w:r w:rsidR="0075587A">
        <w:rPr>
          <w:bCs/>
        </w:rPr>
        <w:t>0.</w:t>
      </w:r>
      <w:r w:rsidR="00B60497">
        <w:rPr>
          <w:bCs/>
        </w:rPr>
        <w:t>241</w:t>
      </w:r>
      <w:r w:rsidR="0075587A">
        <w:rPr>
          <w:bCs/>
        </w:rPr>
        <w:t>m</w:t>
      </w:r>
      <w:r w:rsidR="00B60497">
        <w:rPr>
          <w:bCs/>
        </w:rPr>
        <w:t xml:space="preserve"> budget that is been slipped to 2018/19. </w:t>
      </w:r>
      <w:r w:rsidR="008C19B3" w:rsidRPr="000C0919">
        <w:rPr>
          <w:bCs/>
        </w:rPr>
        <w:t xml:space="preserve">However </w:t>
      </w:r>
      <w:r w:rsidR="008435F7" w:rsidRPr="000A2CF3">
        <w:rPr>
          <w:bCs/>
        </w:rPr>
        <w:t>following further analysis of the business case, the original MTFS proposal</w:t>
      </w:r>
      <w:r w:rsidR="00411A8D">
        <w:rPr>
          <w:bCs/>
        </w:rPr>
        <w:t xml:space="preserve"> in 2018/19</w:t>
      </w:r>
      <w:r w:rsidR="008435F7" w:rsidRPr="000A2CF3">
        <w:rPr>
          <w:bCs/>
        </w:rPr>
        <w:t xml:space="preserve"> to </w:t>
      </w:r>
      <w:r w:rsidR="008C19B3" w:rsidRPr="000C0919">
        <w:rPr>
          <w:bCs/>
        </w:rPr>
        <w:t>generat</w:t>
      </w:r>
      <w:r w:rsidR="008435F7" w:rsidRPr="000A2CF3">
        <w:rPr>
          <w:bCs/>
        </w:rPr>
        <w:t>e</w:t>
      </w:r>
      <w:r w:rsidR="008C19B3" w:rsidRPr="000C0919">
        <w:rPr>
          <w:bCs/>
        </w:rPr>
        <w:t xml:space="preserve"> income from intermediate </w:t>
      </w:r>
      <w:r w:rsidR="008435F7" w:rsidRPr="000A2CF3">
        <w:rPr>
          <w:bCs/>
        </w:rPr>
        <w:t xml:space="preserve">care </w:t>
      </w:r>
      <w:r w:rsidR="008C19B3" w:rsidRPr="000C0919">
        <w:rPr>
          <w:bCs/>
        </w:rPr>
        <w:t xml:space="preserve">beds </w:t>
      </w:r>
      <w:r w:rsidR="008435F7" w:rsidRPr="000A2CF3">
        <w:rPr>
          <w:bCs/>
        </w:rPr>
        <w:t>is no longer considered achievable.  A</w:t>
      </w:r>
      <w:r w:rsidR="008C19B3" w:rsidRPr="000C0919">
        <w:rPr>
          <w:bCs/>
        </w:rPr>
        <w:t xml:space="preserve">lternative plans are being developed to </w:t>
      </w:r>
      <w:r w:rsidR="008435F7" w:rsidRPr="000A2CF3">
        <w:rPr>
          <w:bCs/>
        </w:rPr>
        <w:t>achieve this saving although it is not clear at this stage whether capital funding will be required.</w:t>
      </w:r>
    </w:p>
    <w:p w14:paraId="3BA18CFD" w14:textId="77777777" w:rsidR="00A13EEA" w:rsidRDefault="00A13EEA" w:rsidP="00BB0A57">
      <w:pPr>
        <w:pStyle w:val="ListParagraph"/>
        <w:spacing w:after="120"/>
        <w:ind w:left="709"/>
        <w:jc w:val="both"/>
        <w:rPr>
          <w:b/>
          <w:bCs/>
          <w:sz w:val="20"/>
        </w:rPr>
      </w:pPr>
    </w:p>
    <w:p w14:paraId="58A17F46" w14:textId="469C7DF1" w:rsidR="00B06904" w:rsidRPr="008442F1" w:rsidRDefault="00B06904" w:rsidP="00BB0A57">
      <w:pPr>
        <w:pStyle w:val="ListParagraph"/>
        <w:spacing w:after="120"/>
        <w:ind w:left="709"/>
        <w:jc w:val="both"/>
        <w:rPr>
          <w:b/>
          <w:bCs/>
          <w:sz w:val="20"/>
        </w:rPr>
      </w:pPr>
      <w:r w:rsidRPr="008442F1">
        <w:rPr>
          <w:b/>
          <w:bCs/>
          <w:sz w:val="20"/>
        </w:rPr>
        <w:t>SCHOOLS</w:t>
      </w:r>
    </w:p>
    <w:p w14:paraId="7672B2D4" w14:textId="5BB12FD7" w:rsidR="009E08CE" w:rsidRPr="008442F1" w:rsidRDefault="009E08CE" w:rsidP="000A2CF3">
      <w:pPr>
        <w:pStyle w:val="ListParagraph"/>
        <w:numPr>
          <w:ilvl w:val="0"/>
          <w:numId w:val="95"/>
        </w:numPr>
        <w:spacing w:after="120"/>
        <w:ind w:left="709" w:hanging="709"/>
        <w:jc w:val="both"/>
        <w:rPr>
          <w:bCs/>
        </w:rPr>
      </w:pPr>
      <w:r w:rsidRPr="008442F1">
        <w:rPr>
          <w:bCs/>
        </w:rPr>
        <w:t>The approved capital programme in 2017</w:t>
      </w:r>
      <w:r w:rsidR="00CC2689">
        <w:rPr>
          <w:bCs/>
        </w:rPr>
        <w:t>/</w:t>
      </w:r>
      <w:r w:rsidRPr="008442F1">
        <w:rPr>
          <w:bCs/>
        </w:rPr>
        <w:t>18 for Children’s Services totals £2</w:t>
      </w:r>
      <w:r w:rsidR="00C5236A">
        <w:rPr>
          <w:bCs/>
        </w:rPr>
        <w:t>5</w:t>
      </w:r>
      <w:r w:rsidRPr="008442F1">
        <w:rPr>
          <w:bCs/>
        </w:rPr>
        <w:t>.</w:t>
      </w:r>
      <w:r w:rsidR="008442F1" w:rsidRPr="00CB1B58">
        <w:rPr>
          <w:bCs/>
        </w:rPr>
        <w:t>115</w:t>
      </w:r>
      <w:r w:rsidRPr="008442F1">
        <w:rPr>
          <w:bCs/>
        </w:rPr>
        <w:t>m. The projected expenditure this year is £1</w:t>
      </w:r>
      <w:r w:rsidR="00AC14C2">
        <w:rPr>
          <w:bCs/>
        </w:rPr>
        <w:t>6.042</w:t>
      </w:r>
      <w:r w:rsidRPr="008442F1">
        <w:rPr>
          <w:bCs/>
        </w:rPr>
        <w:t xml:space="preserve">m which represents </w:t>
      </w:r>
      <w:r w:rsidR="008442F1" w:rsidRPr="008442F1">
        <w:rPr>
          <w:bCs/>
        </w:rPr>
        <w:t>6</w:t>
      </w:r>
      <w:r w:rsidR="00AC14C2">
        <w:rPr>
          <w:bCs/>
        </w:rPr>
        <w:t>4</w:t>
      </w:r>
      <w:r w:rsidRPr="008442F1">
        <w:rPr>
          <w:bCs/>
        </w:rPr>
        <w:t>% of the total capital budget.</w:t>
      </w:r>
    </w:p>
    <w:p w14:paraId="703D861D" w14:textId="0BB5391C" w:rsidR="00001D6F" w:rsidRPr="00CB1B58" w:rsidRDefault="009E08CE" w:rsidP="000A2CF3">
      <w:pPr>
        <w:pStyle w:val="ListParagraph"/>
        <w:numPr>
          <w:ilvl w:val="0"/>
          <w:numId w:val="95"/>
        </w:numPr>
        <w:spacing w:after="120"/>
        <w:ind w:left="709" w:hanging="709"/>
        <w:jc w:val="both"/>
        <w:rPr>
          <w:b/>
          <w:bCs/>
        </w:rPr>
      </w:pPr>
      <w:r w:rsidRPr="003C0F6E">
        <w:rPr>
          <w:b/>
          <w:bCs/>
        </w:rPr>
        <w:t>School Expansion Programme (SEP) 1 and 2 (including some SEN and Secondary</w:t>
      </w:r>
      <w:r w:rsidR="00001D6F" w:rsidRPr="003C0F6E">
        <w:rPr>
          <w:rFonts w:eastAsia="Calibri" w:cs="Arial"/>
          <w:szCs w:val="24"/>
        </w:rPr>
        <w:t xml:space="preserve">) - </w:t>
      </w:r>
      <w:r w:rsidR="00001D6F" w:rsidRPr="00CB1B58">
        <w:rPr>
          <w:bCs/>
        </w:rPr>
        <w:t>Keepmoat, the Council’s Framework Partner was commissioned to deliver the majority of the Phase 1 (SEP1) and Phase 2 (SEP2) construction projects.  The projects in SEP1 and SEP2 have reached Project Completion and the schools are occupying their new accommodation.</w:t>
      </w:r>
    </w:p>
    <w:p w14:paraId="7024BF90" w14:textId="77777777" w:rsidR="00001D6F" w:rsidRPr="00CB1B58" w:rsidRDefault="009E08CE" w:rsidP="000A2CF3">
      <w:pPr>
        <w:pStyle w:val="ListParagraph"/>
        <w:numPr>
          <w:ilvl w:val="0"/>
          <w:numId w:val="95"/>
        </w:numPr>
        <w:spacing w:after="120"/>
        <w:ind w:left="709" w:hanging="709"/>
        <w:jc w:val="both"/>
        <w:rPr>
          <w:b/>
          <w:bCs/>
        </w:rPr>
      </w:pPr>
      <w:r w:rsidRPr="003C0F6E">
        <w:rPr>
          <w:b/>
          <w:bCs/>
        </w:rPr>
        <w:lastRenderedPageBreak/>
        <w:t xml:space="preserve"> </w:t>
      </w:r>
      <w:r w:rsidR="00001D6F" w:rsidRPr="00CB1B58">
        <w:rPr>
          <w:bCs/>
        </w:rPr>
        <w:t>The Children’s Capital Project Team is working to resolve a number of building defects with Keepmoat post completion. There are on-going contractual issues with Keepmoat and the council has appointed Legal and Commercial advisers to secure resolution. For the purposes of budget monitoring these programmes are forecast to budget but there is a risk to the capital programme that the final outturn is higher than the budget</w:t>
      </w:r>
      <w:r w:rsidR="00001D6F" w:rsidRPr="00CB1B58">
        <w:rPr>
          <w:b/>
          <w:bCs/>
        </w:rPr>
        <w:t>.</w:t>
      </w:r>
    </w:p>
    <w:p w14:paraId="5B37DA44" w14:textId="6C84B09B" w:rsidR="00B06904" w:rsidRPr="00CB1B58" w:rsidRDefault="00B06904" w:rsidP="00CB1B58"/>
    <w:p w14:paraId="07EA86A9" w14:textId="37852A6A" w:rsidR="00001D6F" w:rsidRPr="00CB1B58" w:rsidRDefault="009C30DF" w:rsidP="000A2CF3">
      <w:pPr>
        <w:pStyle w:val="ListParagraph"/>
        <w:numPr>
          <w:ilvl w:val="0"/>
          <w:numId w:val="95"/>
        </w:numPr>
        <w:ind w:left="709" w:hanging="709"/>
        <w:jc w:val="both"/>
        <w:rPr>
          <w:rFonts w:cs="Arial"/>
          <w:szCs w:val="24"/>
        </w:rPr>
      </w:pPr>
      <w:r w:rsidRPr="003C0F6E">
        <w:rPr>
          <w:rFonts w:cs="Arial"/>
          <w:b/>
          <w:szCs w:val="24"/>
        </w:rPr>
        <w:t>SEP 3</w:t>
      </w:r>
      <w:r w:rsidR="000C088B" w:rsidRPr="003C0F6E">
        <w:rPr>
          <w:rFonts w:cs="Arial"/>
          <w:b/>
          <w:szCs w:val="24"/>
        </w:rPr>
        <w:t xml:space="preserve"> </w:t>
      </w:r>
      <w:r w:rsidRPr="003C0F6E">
        <w:rPr>
          <w:rFonts w:cs="Arial"/>
          <w:b/>
          <w:szCs w:val="24"/>
        </w:rPr>
        <w:t xml:space="preserve">- </w:t>
      </w:r>
      <w:r w:rsidR="00001D6F" w:rsidRPr="00CB1B58">
        <w:rPr>
          <w:rFonts w:cs="Arial"/>
          <w:szCs w:val="24"/>
        </w:rPr>
        <w:t>Following procurement processes, Arcadis were appointed as Technical Advisers and Willmott Dixon as the single supplier from the SCAPE framework for the SEP3 projects.  The SCAPE framework is local authority owned and specialises in school construction. There are four school expansions over five school sites. Four of the projects are completed and the final scheme is scheduled to commence in February 2018. The majority of this project will therefore slip into 2018</w:t>
      </w:r>
      <w:r w:rsidR="00CC2689">
        <w:rPr>
          <w:rFonts w:cs="Arial"/>
          <w:szCs w:val="24"/>
        </w:rPr>
        <w:t>/</w:t>
      </w:r>
      <w:r w:rsidR="00001D6F" w:rsidRPr="00CB1B58">
        <w:rPr>
          <w:rFonts w:cs="Arial"/>
          <w:szCs w:val="24"/>
        </w:rPr>
        <w:t>19. In addition, Weald Rise is being rebuilt by the Priority Schools Building Programme (PSBP) and the LA is providing a top up to expand the school to 4 forms of entry.</w:t>
      </w:r>
    </w:p>
    <w:p w14:paraId="140688EB" w14:textId="4CFA860A" w:rsidR="009C30DF" w:rsidRPr="00CB1B58" w:rsidRDefault="00001D6F" w:rsidP="00CB1B58">
      <w:pPr>
        <w:pStyle w:val="ListParagraph"/>
        <w:ind w:left="788"/>
        <w:jc w:val="both"/>
        <w:rPr>
          <w:rFonts w:cs="Arial"/>
          <w:b/>
          <w:szCs w:val="24"/>
          <w:highlight w:val="yellow"/>
        </w:rPr>
      </w:pPr>
      <w:r>
        <w:rPr>
          <w:rFonts w:cs="Arial"/>
          <w:b/>
          <w:szCs w:val="24"/>
          <w:highlight w:val="yellow"/>
        </w:rPr>
        <w:t xml:space="preserve"> </w:t>
      </w:r>
    </w:p>
    <w:p w14:paraId="3670D911" w14:textId="77777777" w:rsidR="009C30DF" w:rsidRPr="003C0F6E" w:rsidRDefault="009C30DF" w:rsidP="009C30DF">
      <w:pPr>
        <w:ind w:firstLine="720"/>
        <w:rPr>
          <w:rFonts w:cs="Arial"/>
          <w:b/>
          <w:szCs w:val="24"/>
        </w:rPr>
      </w:pPr>
      <w:r w:rsidRPr="003C0F6E">
        <w:rPr>
          <w:rFonts w:cs="Arial"/>
          <w:b/>
          <w:szCs w:val="24"/>
        </w:rPr>
        <w:t>Slippage</w:t>
      </w:r>
    </w:p>
    <w:p w14:paraId="5ACAF56D" w14:textId="77777777" w:rsidR="009C30DF" w:rsidRPr="003C0F6E" w:rsidRDefault="009C30DF" w:rsidP="00BB0A57">
      <w:pPr>
        <w:rPr>
          <w:rFonts w:cs="Arial"/>
          <w:b/>
          <w:szCs w:val="24"/>
        </w:rPr>
      </w:pPr>
    </w:p>
    <w:p w14:paraId="7662B334" w14:textId="76476AE6" w:rsidR="005D6E31" w:rsidRPr="008048E1" w:rsidRDefault="00001D6F" w:rsidP="00CB1B58">
      <w:pPr>
        <w:pStyle w:val="ListParagraph"/>
        <w:numPr>
          <w:ilvl w:val="0"/>
          <w:numId w:val="95"/>
        </w:numPr>
        <w:ind w:left="788" w:hanging="709"/>
        <w:jc w:val="both"/>
        <w:rPr>
          <w:rFonts w:cs="Arial"/>
          <w:color w:val="FF0000"/>
          <w:szCs w:val="24"/>
        </w:rPr>
      </w:pPr>
      <w:r w:rsidRPr="005D6E31">
        <w:rPr>
          <w:rFonts w:cs="Arial"/>
          <w:szCs w:val="24"/>
        </w:rPr>
        <w:t xml:space="preserve">The total slippage is </w:t>
      </w:r>
      <w:r w:rsidR="00C5236A" w:rsidRPr="005D6E31">
        <w:rPr>
          <w:rFonts w:cs="Arial"/>
          <w:szCs w:val="24"/>
        </w:rPr>
        <w:t>(</w:t>
      </w:r>
      <w:r w:rsidRPr="005D6E31">
        <w:rPr>
          <w:rFonts w:cs="Arial"/>
          <w:szCs w:val="24"/>
        </w:rPr>
        <w:t>£</w:t>
      </w:r>
      <w:r w:rsidR="00AC14C2" w:rsidRPr="005D6E31">
        <w:rPr>
          <w:rFonts w:cs="Arial"/>
          <w:szCs w:val="24"/>
        </w:rPr>
        <w:t>9.072</w:t>
      </w:r>
      <w:r w:rsidRPr="005D6E31">
        <w:rPr>
          <w:rFonts w:cs="Arial"/>
          <w:szCs w:val="24"/>
        </w:rPr>
        <w:t>m</w:t>
      </w:r>
      <w:r w:rsidR="00C5236A" w:rsidRPr="005D6E31">
        <w:rPr>
          <w:rFonts w:cs="Arial"/>
          <w:szCs w:val="24"/>
        </w:rPr>
        <w:t>)</w:t>
      </w:r>
      <w:r w:rsidRPr="005D6E31">
        <w:rPr>
          <w:rFonts w:cs="Arial"/>
          <w:szCs w:val="24"/>
        </w:rPr>
        <w:t>. Of this, £3.150m relates to funding set aside for secondary expansions. As reported to Cabinet in June 2017 the projections for Year 7 places continue to show a lower trajectory of increase than the 2015 projections. With the current number of places available there will be a shortfall of 4 to 5 forms of entry in 2022/23. This reduces to 3-5 forms of entry in 2027/28. However, at this time there are a higher number of Year 7 places than required which is resulting in vacancies being concentrated in a small number of schools. It is proposed to slip the funding to 2019</w:t>
      </w:r>
      <w:r w:rsidR="00CC2689" w:rsidRPr="005D6E31">
        <w:rPr>
          <w:rFonts w:cs="Arial"/>
          <w:szCs w:val="24"/>
        </w:rPr>
        <w:t>/</w:t>
      </w:r>
      <w:r w:rsidRPr="005D6E31">
        <w:rPr>
          <w:rFonts w:cs="Arial"/>
          <w:szCs w:val="24"/>
        </w:rPr>
        <w:t>20 and ensure that the situation is monitored and that once there is greater clarity about changes on the borough boundaries that a local solution to meet the growing need is developed with the High Schools.</w:t>
      </w:r>
      <w:r w:rsidR="00961E8D" w:rsidRPr="005D6E31">
        <w:rPr>
          <w:bCs/>
          <w:color w:val="FF0000"/>
        </w:rPr>
        <w:t xml:space="preserve"> </w:t>
      </w:r>
      <w:r w:rsidR="005D6E31" w:rsidRPr="001941B8">
        <w:rPr>
          <w:rFonts w:cs="Arial"/>
          <w:szCs w:val="24"/>
        </w:rPr>
        <w:t>There are no revenue implications from this slippage</w:t>
      </w:r>
      <w:r w:rsidR="005D6E31" w:rsidDel="005D6E31">
        <w:rPr>
          <w:rFonts w:cs="Arial"/>
          <w:bCs/>
          <w:color w:val="FF0000"/>
          <w:szCs w:val="24"/>
        </w:rPr>
        <w:t xml:space="preserve"> </w:t>
      </w:r>
    </w:p>
    <w:p w14:paraId="5B44D183" w14:textId="77777777" w:rsidR="00001D6F" w:rsidRPr="005D6E31" w:rsidRDefault="00001D6F" w:rsidP="000A2CF3">
      <w:pPr>
        <w:pStyle w:val="ListParagraph"/>
        <w:ind w:left="788"/>
        <w:jc w:val="both"/>
        <w:rPr>
          <w:rFonts w:cs="Arial"/>
          <w:szCs w:val="24"/>
        </w:rPr>
      </w:pPr>
    </w:p>
    <w:p w14:paraId="37274867" w14:textId="77777777" w:rsidR="00784792" w:rsidRDefault="00001D6F" w:rsidP="000A2CF3">
      <w:pPr>
        <w:pStyle w:val="ListParagraph"/>
        <w:numPr>
          <w:ilvl w:val="0"/>
          <w:numId w:val="95"/>
        </w:numPr>
        <w:ind w:left="709" w:hanging="709"/>
        <w:jc w:val="both"/>
        <w:rPr>
          <w:rFonts w:cs="Arial"/>
          <w:szCs w:val="24"/>
        </w:rPr>
      </w:pPr>
      <w:r w:rsidRPr="005D6E31">
        <w:rPr>
          <w:rFonts w:cs="Arial"/>
          <w:szCs w:val="24"/>
        </w:rPr>
        <w:t>SEP3 slippage totals £3.9m. This is the final project in SEP3 and relates to Welldon Park Junior School. Work is anticipated to start on site in February 2018 and completed by October/November 2018. The slippage does not impact on the school as the expanded year groups are still working through the infant school which is on a different site.</w:t>
      </w:r>
      <w:r w:rsidR="00961E8D" w:rsidRPr="005D6E31">
        <w:rPr>
          <w:bCs/>
          <w:color w:val="FF0000"/>
        </w:rPr>
        <w:t xml:space="preserve"> </w:t>
      </w:r>
      <w:r w:rsidR="005D6E31" w:rsidRPr="001941B8">
        <w:rPr>
          <w:rFonts w:cs="Arial"/>
          <w:szCs w:val="24"/>
        </w:rPr>
        <w:t>There are no revenue implications from this slippage</w:t>
      </w:r>
      <w:r w:rsidR="00784792">
        <w:rPr>
          <w:rFonts w:cs="Arial"/>
          <w:szCs w:val="24"/>
        </w:rPr>
        <w:t>.</w:t>
      </w:r>
    </w:p>
    <w:p w14:paraId="72E5DF4B" w14:textId="240782D9" w:rsidR="005D6E31" w:rsidRPr="000A2CF3" w:rsidRDefault="005D6E31" w:rsidP="000A2CF3">
      <w:pPr>
        <w:pStyle w:val="ListParagraph"/>
        <w:ind w:left="709"/>
        <w:jc w:val="both"/>
        <w:rPr>
          <w:rFonts w:cs="Arial"/>
          <w:szCs w:val="24"/>
        </w:rPr>
      </w:pPr>
    </w:p>
    <w:p w14:paraId="6FDEBD79" w14:textId="543726A0" w:rsidR="00AC14C2" w:rsidRPr="005D6E31" w:rsidRDefault="00784792" w:rsidP="000A2CF3">
      <w:pPr>
        <w:pStyle w:val="ListParagraph"/>
        <w:numPr>
          <w:ilvl w:val="0"/>
          <w:numId w:val="95"/>
        </w:numPr>
        <w:ind w:left="709" w:hanging="709"/>
        <w:jc w:val="both"/>
        <w:rPr>
          <w:rFonts w:cs="Arial"/>
          <w:szCs w:val="24"/>
        </w:rPr>
      </w:pPr>
      <w:r w:rsidRPr="000A2CF3">
        <w:rPr>
          <w:rFonts w:cs="Arial"/>
          <w:bCs/>
          <w:szCs w:val="24"/>
        </w:rPr>
        <w:t>Special Educational Needs provision slippage totals £1.320m. Funding has been included in the capital programme to support additional in-borough SEN provision which is currently being reviewed and scoped. The outcome of the review will inform any decisions about future provision but will not be spent until 2018/19. There are no revenue implications from this slippage</w:t>
      </w:r>
    </w:p>
    <w:p w14:paraId="7CCAD4E3" w14:textId="77777777" w:rsidR="00001D6F" w:rsidRPr="00CB1B58" w:rsidRDefault="00001D6F" w:rsidP="00CB1B58">
      <w:pPr>
        <w:pStyle w:val="ListParagraph"/>
        <w:ind w:left="788"/>
        <w:jc w:val="both"/>
        <w:rPr>
          <w:rFonts w:cs="Arial"/>
          <w:szCs w:val="24"/>
        </w:rPr>
      </w:pPr>
    </w:p>
    <w:p w14:paraId="42EA2506" w14:textId="471212E2" w:rsidR="00AE54DB" w:rsidRPr="005D6E31" w:rsidRDefault="00001D6F" w:rsidP="00CB1B58">
      <w:pPr>
        <w:pStyle w:val="ListParagraph"/>
        <w:numPr>
          <w:ilvl w:val="0"/>
          <w:numId w:val="95"/>
        </w:numPr>
        <w:ind w:left="709" w:hanging="709"/>
        <w:jc w:val="both"/>
        <w:rPr>
          <w:rFonts w:cs="Arial"/>
          <w:szCs w:val="24"/>
        </w:rPr>
      </w:pPr>
      <w:r w:rsidRPr="005D6E31">
        <w:rPr>
          <w:rFonts w:cs="Arial"/>
          <w:szCs w:val="24"/>
        </w:rPr>
        <w:t>The remainder of the slippage is for IT and funding for bulge classes which are not anticipated to be needed this financial year.</w:t>
      </w:r>
      <w:r w:rsidR="00961E8D" w:rsidRPr="005D6E31">
        <w:rPr>
          <w:bCs/>
          <w:color w:val="FF0000"/>
        </w:rPr>
        <w:t xml:space="preserve"> </w:t>
      </w:r>
      <w:r w:rsidR="005D6E31" w:rsidRPr="001941B8">
        <w:rPr>
          <w:rFonts w:cs="Arial"/>
          <w:szCs w:val="24"/>
        </w:rPr>
        <w:t>There are no revenue implications from this slippage</w:t>
      </w:r>
      <w:r w:rsidR="005D6E31" w:rsidDel="005D6E31">
        <w:rPr>
          <w:rFonts w:cs="Arial"/>
          <w:bCs/>
          <w:color w:val="FF0000"/>
          <w:szCs w:val="24"/>
        </w:rPr>
        <w:t xml:space="preserve"> </w:t>
      </w:r>
    </w:p>
    <w:p w14:paraId="3C359A56" w14:textId="77777777" w:rsidR="007C155F" w:rsidRDefault="007C155F" w:rsidP="00CB1B58">
      <w:pPr>
        <w:pStyle w:val="ListParagraph"/>
        <w:rPr>
          <w:rFonts w:cs="Arial"/>
          <w:szCs w:val="24"/>
        </w:rPr>
      </w:pPr>
    </w:p>
    <w:p w14:paraId="6F6EBC57" w14:textId="77777777" w:rsidR="007C155F" w:rsidRPr="009F4A02" w:rsidRDefault="007C155F" w:rsidP="00CB1B58">
      <w:pPr>
        <w:pStyle w:val="ListParagraph"/>
        <w:rPr>
          <w:rFonts w:cs="Arial"/>
          <w:szCs w:val="24"/>
        </w:rPr>
      </w:pPr>
    </w:p>
    <w:p w14:paraId="6E04A2E5" w14:textId="5E3F579D" w:rsidR="00AE54DB" w:rsidRPr="00CB1B58" w:rsidRDefault="00C5236A" w:rsidP="00CB1B58">
      <w:pPr>
        <w:pStyle w:val="ListParagraph"/>
        <w:ind w:left="788"/>
        <w:jc w:val="both"/>
        <w:rPr>
          <w:rFonts w:cs="Arial"/>
          <w:b/>
          <w:szCs w:val="24"/>
          <w:u w:val="single"/>
        </w:rPr>
      </w:pPr>
      <w:r>
        <w:rPr>
          <w:rFonts w:cs="Arial"/>
          <w:b/>
          <w:szCs w:val="24"/>
          <w:u w:val="single"/>
        </w:rPr>
        <w:t>R</w:t>
      </w:r>
      <w:r w:rsidR="00AE54DB" w:rsidRPr="00CB1B58">
        <w:rPr>
          <w:rFonts w:cs="Arial"/>
          <w:b/>
          <w:szCs w:val="24"/>
          <w:u w:val="single"/>
        </w:rPr>
        <w:t>EGENERATION</w:t>
      </w:r>
    </w:p>
    <w:p w14:paraId="5C1F21B3" w14:textId="77777777" w:rsidR="00AE54DB" w:rsidRPr="00CB1B58" w:rsidRDefault="00AE54DB" w:rsidP="00CB1B58">
      <w:pPr>
        <w:pStyle w:val="ListParagraph"/>
        <w:rPr>
          <w:rFonts w:cs="Arial"/>
          <w:b/>
          <w:szCs w:val="24"/>
        </w:rPr>
      </w:pPr>
    </w:p>
    <w:p w14:paraId="2BB9EEF5" w14:textId="065D6BCB" w:rsidR="001C1074" w:rsidRPr="000A2CF3" w:rsidRDefault="001C1074" w:rsidP="000A2CF3">
      <w:pPr>
        <w:pStyle w:val="ListParagraph"/>
        <w:numPr>
          <w:ilvl w:val="0"/>
          <w:numId w:val="95"/>
        </w:numPr>
        <w:ind w:left="709" w:hanging="709"/>
        <w:jc w:val="both"/>
        <w:rPr>
          <w:rFonts w:cs="Arial"/>
          <w:szCs w:val="24"/>
        </w:rPr>
      </w:pPr>
      <w:r w:rsidRPr="000A2CF3">
        <w:rPr>
          <w:rFonts w:cs="Arial"/>
          <w:bCs/>
          <w:szCs w:val="24"/>
        </w:rPr>
        <w:t>At Quarter 3</w:t>
      </w:r>
      <w:r w:rsidR="005E5177">
        <w:rPr>
          <w:rFonts w:cs="Arial"/>
          <w:bCs/>
          <w:szCs w:val="24"/>
        </w:rPr>
        <w:t xml:space="preserve">, </w:t>
      </w:r>
      <w:r w:rsidRPr="000A2CF3">
        <w:rPr>
          <w:rFonts w:cs="Arial"/>
          <w:bCs/>
          <w:szCs w:val="24"/>
        </w:rPr>
        <w:t>the forecast spent is £</w:t>
      </w:r>
      <w:r>
        <w:rPr>
          <w:rFonts w:cs="Arial"/>
          <w:bCs/>
          <w:szCs w:val="24"/>
        </w:rPr>
        <w:t>17.</w:t>
      </w:r>
      <w:r w:rsidR="009E4373">
        <w:rPr>
          <w:rFonts w:cs="Arial"/>
          <w:bCs/>
          <w:szCs w:val="24"/>
        </w:rPr>
        <w:t>966</w:t>
      </w:r>
      <w:r w:rsidR="00DC2609" w:rsidRPr="000A2CF3">
        <w:rPr>
          <w:rFonts w:cs="Arial"/>
          <w:bCs/>
          <w:szCs w:val="24"/>
        </w:rPr>
        <w:t>m</w:t>
      </w:r>
      <w:r w:rsidR="00DC2609">
        <w:rPr>
          <w:rFonts w:cs="Arial"/>
          <w:bCs/>
          <w:szCs w:val="24"/>
        </w:rPr>
        <w:t>;</w:t>
      </w:r>
      <w:r w:rsidR="006D48DB">
        <w:rPr>
          <w:rFonts w:cs="Arial"/>
          <w:bCs/>
          <w:szCs w:val="24"/>
        </w:rPr>
        <w:t xml:space="preserve"> </w:t>
      </w:r>
      <w:r w:rsidRPr="000A2CF3">
        <w:rPr>
          <w:rFonts w:cs="Arial"/>
          <w:bCs/>
          <w:szCs w:val="24"/>
        </w:rPr>
        <w:t xml:space="preserve">this represents </w:t>
      </w:r>
      <w:r>
        <w:rPr>
          <w:rFonts w:cs="Arial"/>
          <w:bCs/>
          <w:szCs w:val="24"/>
        </w:rPr>
        <w:t>3</w:t>
      </w:r>
      <w:r w:rsidR="009E4373">
        <w:rPr>
          <w:rFonts w:cs="Arial"/>
          <w:bCs/>
          <w:szCs w:val="24"/>
        </w:rPr>
        <w:t>2</w:t>
      </w:r>
      <w:r w:rsidRPr="000A2CF3">
        <w:rPr>
          <w:rFonts w:cs="Arial"/>
          <w:bCs/>
          <w:szCs w:val="24"/>
        </w:rPr>
        <w:t xml:space="preserve">% of the </w:t>
      </w:r>
      <w:r w:rsidR="006D48DB">
        <w:rPr>
          <w:rFonts w:cs="Arial"/>
          <w:bCs/>
          <w:szCs w:val="24"/>
        </w:rPr>
        <w:t xml:space="preserve">£56.643m </w:t>
      </w:r>
      <w:r w:rsidRPr="000A2CF3">
        <w:rPr>
          <w:rFonts w:cs="Arial"/>
          <w:bCs/>
          <w:szCs w:val="24"/>
        </w:rPr>
        <w:t>approved capital programme</w:t>
      </w:r>
      <w:r w:rsidRPr="000A2CF3">
        <w:rPr>
          <w:rFonts w:cs="Arial"/>
          <w:szCs w:val="24"/>
        </w:rPr>
        <w:t>.</w:t>
      </w:r>
    </w:p>
    <w:p w14:paraId="1EB6BE03" w14:textId="77777777" w:rsidR="001C1074" w:rsidRDefault="001C1074" w:rsidP="000A2CF3">
      <w:pPr>
        <w:pStyle w:val="ListParagraph"/>
        <w:ind w:left="709"/>
        <w:jc w:val="both"/>
        <w:rPr>
          <w:rFonts w:cs="Arial"/>
          <w:szCs w:val="24"/>
          <w:highlight w:val="yellow"/>
        </w:rPr>
      </w:pPr>
    </w:p>
    <w:p w14:paraId="40AA4A79" w14:textId="2E3AE412" w:rsidR="001C1074" w:rsidRDefault="001C1074" w:rsidP="000A2CF3">
      <w:pPr>
        <w:pStyle w:val="ListParagraph"/>
        <w:numPr>
          <w:ilvl w:val="0"/>
          <w:numId w:val="95"/>
        </w:numPr>
        <w:ind w:left="709" w:hanging="709"/>
        <w:rPr>
          <w:rFonts w:cs="Arial"/>
          <w:szCs w:val="24"/>
        </w:rPr>
      </w:pPr>
      <w:r w:rsidRPr="001C1074">
        <w:rPr>
          <w:rFonts w:cs="Arial"/>
          <w:szCs w:val="24"/>
        </w:rPr>
        <w:t>The</w:t>
      </w:r>
      <w:r>
        <w:rPr>
          <w:rFonts w:cs="Arial"/>
          <w:szCs w:val="24"/>
        </w:rPr>
        <w:t xml:space="preserve"> forecast </w:t>
      </w:r>
      <w:r w:rsidR="006D48DB">
        <w:rPr>
          <w:rFonts w:cs="Arial"/>
          <w:szCs w:val="24"/>
        </w:rPr>
        <w:t>variance is (£38.677m)</w:t>
      </w:r>
      <w:r>
        <w:rPr>
          <w:rFonts w:cs="Arial"/>
          <w:szCs w:val="24"/>
        </w:rPr>
        <w:t xml:space="preserve"> </w:t>
      </w:r>
      <w:r w:rsidR="009E4373">
        <w:rPr>
          <w:rFonts w:cs="Arial"/>
          <w:szCs w:val="24"/>
        </w:rPr>
        <w:t>of</w:t>
      </w:r>
      <w:r w:rsidR="006D48DB">
        <w:rPr>
          <w:rFonts w:cs="Arial"/>
          <w:szCs w:val="24"/>
        </w:rPr>
        <w:t xml:space="preserve"> which </w:t>
      </w:r>
      <w:r>
        <w:rPr>
          <w:rFonts w:cs="Arial"/>
          <w:szCs w:val="24"/>
        </w:rPr>
        <w:t xml:space="preserve"> £</w:t>
      </w:r>
      <w:r w:rsidR="006D48DB">
        <w:rPr>
          <w:rFonts w:cs="Arial"/>
          <w:szCs w:val="24"/>
        </w:rPr>
        <w:t>0.677m</w:t>
      </w:r>
      <w:r w:rsidR="003A0440">
        <w:rPr>
          <w:rFonts w:cs="Arial"/>
          <w:szCs w:val="24"/>
        </w:rPr>
        <w:t xml:space="preserve"> </w:t>
      </w:r>
      <w:r w:rsidRPr="001C1074">
        <w:rPr>
          <w:rFonts w:cs="Arial"/>
          <w:szCs w:val="24"/>
        </w:rPr>
        <w:t xml:space="preserve">will </w:t>
      </w:r>
      <w:r w:rsidR="00CC2689">
        <w:rPr>
          <w:rFonts w:cs="Arial"/>
          <w:szCs w:val="24"/>
        </w:rPr>
        <w:t>be slipped to 2018/</w:t>
      </w:r>
      <w:r w:rsidRPr="001C1074">
        <w:rPr>
          <w:rFonts w:cs="Arial"/>
          <w:szCs w:val="24"/>
        </w:rPr>
        <w:t>19</w:t>
      </w:r>
      <w:r w:rsidR="009E4373" w:rsidRPr="009E4373">
        <w:rPr>
          <w:bCs/>
        </w:rPr>
        <w:t xml:space="preserve"> </w:t>
      </w:r>
      <w:r w:rsidR="009E4373" w:rsidRPr="009E4373">
        <w:rPr>
          <w:rFonts w:cs="Arial"/>
          <w:bCs/>
          <w:szCs w:val="24"/>
        </w:rPr>
        <w:t>and £</w:t>
      </w:r>
      <w:r w:rsidR="006D48DB">
        <w:rPr>
          <w:rFonts w:cs="Arial"/>
          <w:bCs/>
          <w:szCs w:val="24"/>
        </w:rPr>
        <w:t>38m</w:t>
      </w:r>
      <w:r w:rsidR="009E4373" w:rsidRPr="009E4373">
        <w:rPr>
          <w:rFonts w:cs="Arial"/>
          <w:bCs/>
          <w:szCs w:val="24"/>
        </w:rPr>
        <w:t xml:space="preserve"> is no longer </w:t>
      </w:r>
      <w:r w:rsidR="006D48DB">
        <w:rPr>
          <w:rFonts w:cs="Arial"/>
          <w:bCs/>
          <w:szCs w:val="24"/>
        </w:rPr>
        <w:t>needed</w:t>
      </w:r>
      <w:r>
        <w:rPr>
          <w:rFonts w:cs="Arial"/>
          <w:szCs w:val="24"/>
        </w:rPr>
        <w:t>.</w:t>
      </w:r>
    </w:p>
    <w:p w14:paraId="5AB5D82E" w14:textId="77777777" w:rsidR="009E4373" w:rsidRPr="007B174C" w:rsidRDefault="009E4373" w:rsidP="000A3C5C">
      <w:pPr>
        <w:pStyle w:val="ListParagraph"/>
        <w:rPr>
          <w:rFonts w:cs="Arial"/>
          <w:szCs w:val="24"/>
        </w:rPr>
      </w:pPr>
    </w:p>
    <w:p w14:paraId="6C3C2720" w14:textId="7CD602ED" w:rsidR="009E4373" w:rsidRPr="001C1074" w:rsidRDefault="006D48DB" w:rsidP="000A3C5C">
      <w:pPr>
        <w:pStyle w:val="ListParagraph"/>
        <w:numPr>
          <w:ilvl w:val="0"/>
          <w:numId w:val="95"/>
        </w:numPr>
        <w:ind w:left="709" w:hanging="709"/>
        <w:jc w:val="both"/>
        <w:rPr>
          <w:rFonts w:cs="Arial"/>
          <w:szCs w:val="24"/>
        </w:rPr>
      </w:pPr>
      <w:r>
        <w:rPr>
          <w:rFonts w:cs="Arial"/>
          <w:szCs w:val="24"/>
        </w:rPr>
        <w:t xml:space="preserve">The </w:t>
      </w:r>
      <w:r w:rsidR="00DC2609">
        <w:rPr>
          <w:rFonts w:cs="Arial"/>
          <w:szCs w:val="24"/>
        </w:rPr>
        <w:t xml:space="preserve">forecast </w:t>
      </w:r>
      <w:r>
        <w:rPr>
          <w:rFonts w:cs="Arial"/>
          <w:szCs w:val="24"/>
        </w:rPr>
        <w:t>variance</w:t>
      </w:r>
      <w:r w:rsidR="003A0440">
        <w:rPr>
          <w:rFonts w:cs="Arial"/>
          <w:szCs w:val="24"/>
        </w:rPr>
        <w:t xml:space="preserve"> of </w:t>
      </w:r>
      <w:r w:rsidR="009E4373">
        <w:rPr>
          <w:rFonts w:cs="Arial"/>
          <w:szCs w:val="24"/>
        </w:rPr>
        <w:t xml:space="preserve">£38m </w:t>
      </w:r>
      <w:r w:rsidR="003A0440">
        <w:rPr>
          <w:rFonts w:cs="Arial"/>
          <w:szCs w:val="24"/>
        </w:rPr>
        <w:t xml:space="preserve">that </w:t>
      </w:r>
      <w:r w:rsidR="009E4373">
        <w:rPr>
          <w:rFonts w:cs="Arial"/>
          <w:szCs w:val="24"/>
        </w:rPr>
        <w:t>is</w:t>
      </w:r>
      <w:r w:rsidR="003A0440">
        <w:rPr>
          <w:rFonts w:cs="Arial"/>
          <w:szCs w:val="24"/>
        </w:rPr>
        <w:t xml:space="preserve"> no longer required is due to </w:t>
      </w:r>
      <w:r w:rsidR="007B174C">
        <w:rPr>
          <w:rFonts w:cs="Arial"/>
          <w:szCs w:val="24"/>
        </w:rPr>
        <w:t xml:space="preserve">the revision of the Regeneration </w:t>
      </w:r>
      <w:r w:rsidR="00C332F8">
        <w:rPr>
          <w:rFonts w:cs="Arial"/>
          <w:szCs w:val="24"/>
        </w:rPr>
        <w:t>programme as</w:t>
      </w:r>
      <w:r w:rsidR="007B174C">
        <w:rPr>
          <w:rFonts w:cs="Arial"/>
          <w:szCs w:val="24"/>
        </w:rPr>
        <w:t xml:space="preserve"> detailed in the Capital Prog</w:t>
      </w:r>
      <w:r w:rsidR="005466CB">
        <w:rPr>
          <w:rFonts w:cs="Arial"/>
          <w:szCs w:val="24"/>
        </w:rPr>
        <w:t>ramme report elsewhere o</w:t>
      </w:r>
      <w:r w:rsidR="007B174C">
        <w:rPr>
          <w:rFonts w:cs="Arial"/>
          <w:szCs w:val="24"/>
        </w:rPr>
        <w:t xml:space="preserve">n the </w:t>
      </w:r>
      <w:r w:rsidR="00C332F8">
        <w:rPr>
          <w:rFonts w:cs="Arial"/>
          <w:szCs w:val="24"/>
        </w:rPr>
        <w:t>agenda. The</w:t>
      </w:r>
      <w:r w:rsidR="007B174C">
        <w:rPr>
          <w:rFonts w:cs="Arial"/>
          <w:szCs w:val="24"/>
        </w:rPr>
        <w:t xml:space="preserve"> </w:t>
      </w:r>
      <w:r w:rsidR="005466CB">
        <w:rPr>
          <w:rFonts w:cs="Arial"/>
          <w:szCs w:val="24"/>
        </w:rPr>
        <w:t xml:space="preserve">£55.8m </w:t>
      </w:r>
      <w:r w:rsidR="007B174C">
        <w:rPr>
          <w:rFonts w:cs="Arial"/>
          <w:szCs w:val="24"/>
        </w:rPr>
        <w:t xml:space="preserve">2017/18 budget </w:t>
      </w:r>
      <w:r w:rsidR="005466CB">
        <w:rPr>
          <w:rFonts w:cs="Arial"/>
          <w:szCs w:val="24"/>
        </w:rPr>
        <w:t>is forecast to spend £17.7m,</w:t>
      </w:r>
      <w:r w:rsidR="003B748B">
        <w:rPr>
          <w:rFonts w:cs="Arial"/>
          <w:szCs w:val="24"/>
        </w:rPr>
        <w:t xml:space="preserve"> </w:t>
      </w:r>
      <w:r w:rsidR="005466CB">
        <w:rPr>
          <w:rFonts w:cs="Arial"/>
          <w:szCs w:val="24"/>
        </w:rPr>
        <w:t>with the revised regeneration programme being re phased over the periods 201819 to 2020/21 resulting in a reduction in the overall capital requirement</w:t>
      </w:r>
      <w:r w:rsidR="00366BBD">
        <w:rPr>
          <w:rFonts w:cs="Arial"/>
          <w:szCs w:val="24"/>
        </w:rPr>
        <w:t>.</w:t>
      </w:r>
    </w:p>
    <w:p w14:paraId="03E0F7B4" w14:textId="77777777" w:rsidR="0088709D" w:rsidRDefault="0088709D" w:rsidP="00B047D0">
      <w:pPr>
        <w:pStyle w:val="ListParagraph"/>
        <w:ind w:left="788"/>
        <w:jc w:val="both"/>
        <w:rPr>
          <w:rFonts w:cs="Arial"/>
          <w:b/>
          <w:szCs w:val="24"/>
        </w:rPr>
      </w:pPr>
    </w:p>
    <w:p w14:paraId="057D056B" w14:textId="77777777" w:rsidR="00C5236A" w:rsidRDefault="00C5236A" w:rsidP="00CB1B58">
      <w:pPr>
        <w:pStyle w:val="ListParagraph"/>
        <w:ind w:left="788"/>
        <w:jc w:val="both"/>
        <w:rPr>
          <w:rFonts w:cs="Arial"/>
          <w:b/>
          <w:szCs w:val="24"/>
          <w:u w:val="single"/>
        </w:rPr>
      </w:pPr>
    </w:p>
    <w:p w14:paraId="1F82D16E" w14:textId="159C1737" w:rsidR="00C304F0" w:rsidRPr="009712A3" w:rsidRDefault="00C304F0" w:rsidP="00CB1B58">
      <w:pPr>
        <w:pStyle w:val="ListParagraph"/>
        <w:ind w:left="788"/>
        <w:jc w:val="both"/>
        <w:rPr>
          <w:rFonts w:cs="Arial"/>
          <w:b/>
          <w:szCs w:val="24"/>
          <w:u w:val="single"/>
        </w:rPr>
      </w:pPr>
      <w:r w:rsidRPr="009712A3">
        <w:rPr>
          <w:rFonts w:cs="Arial"/>
          <w:b/>
          <w:szCs w:val="24"/>
          <w:u w:val="single"/>
        </w:rPr>
        <w:t>H</w:t>
      </w:r>
      <w:r w:rsidR="003D0738">
        <w:rPr>
          <w:rFonts w:cs="Arial"/>
          <w:b/>
          <w:szCs w:val="24"/>
          <w:u w:val="single"/>
        </w:rPr>
        <w:t xml:space="preserve">ousing </w:t>
      </w:r>
      <w:r w:rsidRPr="009712A3">
        <w:rPr>
          <w:rFonts w:cs="Arial"/>
          <w:b/>
          <w:szCs w:val="24"/>
          <w:u w:val="single"/>
        </w:rPr>
        <w:t>R</w:t>
      </w:r>
      <w:r w:rsidR="003D0738">
        <w:rPr>
          <w:rFonts w:cs="Arial"/>
          <w:b/>
          <w:szCs w:val="24"/>
          <w:u w:val="single"/>
        </w:rPr>
        <w:t xml:space="preserve">evenue </w:t>
      </w:r>
      <w:r w:rsidRPr="009712A3">
        <w:rPr>
          <w:rFonts w:cs="Arial"/>
          <w:b/>
          <w:szCs w:val="24"/>
          <w:u w:val="single"/>
        </w:rPr>
        <w:t>A</w:t>
      </w:r>
      <w:r w:rsidR="003D0738">
        <w:rPr>
          <w:rFonts w:cs="Arial"/>
          <w:b/>
          <w:szCs w:val="24"/>
          <w:u w:val="single"/>
        </w:rPr>
        <w:t xml:space="preserve">ccount </w:t>
      </w:r>
    </w:p>
    <w:p w14:paraId="5ACC9BC7" w14:textId="77777777" w:rsidR="009F4A02" w:rsidRPr="009712A3" w:rsidRDefault="009F4A02" w:rsidP="00CB1B58">
      <w:pPr>
        <w:pStyle w:val="ListParagraph"/>
        <w:ind w:left="788"/>
        <w:jc w:val="both"/>
        <w:rPr>
          <w:rFonts w:cs="Arial"/>
          <w:b/>
          <w:szCs w:val="24"/>
          <w:u w:val="single"/>
        </w:rPr>
      </w:pPr>
    </w:p>
    <w:p w14:paraId="0D80310E" w14:textId="393B2892" w:rsidR="00C304F0" w:rsidRPr="009712A3" w:rsidRDefault="009F4A02" w:rsidP="000A2CF3">
      <w:pPr>
        <w:pStyle w:val="ListParagraph"/>
        <w:numPr>
          <w:ilvl w:val="0"/>
          <w:numId w:val="95"/>
        </w:numPr>
        <w:ind w:left="709" w:hanging="709"/>
        <w:jc w:val="both"/>
        <w:rPr>
          <w:rFonts w:cs="Arial"/>
          <w:szCs w:val="24"/>
        </w:rPr>
      </w:pPr>
      <w:r w:rsidRPr="009712A3">
        <w:rPr>
          <w:rFonts w:cs="Arial"/>
          <w:szCs w:val="24"/>
        </w:rPr>
        <w:t xml:space="preserve">At Quarter </w:t>
      </w:r>
      <w:r w:rsidR="009712A3" w:rsidRPr="000A2CF3">
        <w:rPr>
          <w:rFonts w:cs="Arial"/>
          <w:szCs w:val="24"/>
        </w:rPr>
        <w:t>3</w:t>
      </w:r>
      <w:r w:rsidRPr="009712A3">
        <w:rPr>
          <w:rFonts w:cs="Arial"/>
          <w:szCs w:val="24"/>
        </w:rPr>
        <w:t>, outturn forecast for Housin</w:t>
      </w:r>
      <w:r w:rsidR="008B4D29" w:rsidRPr="009712A3">
        <w:rPr>
          <w:rFonts w:cs="Arial"/>
          <w:szCs w:val="24"/>
        </w:rPr>
        <w:t>g Revenue Account is £1</w:t>
      </w:r>
      <w:r w:rsidR="009712A3" w:rsidRPr="000A2CF3">
        <w:rPr>
          <w:rFonts w:cs="Arial"/>
          <w:szCs w:val="24"/>
        </w:rPr>
        <w:t>3.301</w:t>
      </w:r>
      <w:r w:rsidR="008B4D29" w:rsidRPr="009712A3">
        <w:rPr>
          <w:rFonts w:cs="Arial"/>
          <w:szCs w:val="24"/>
        </w:rPr>
        <w:t>m</w:t>
      </w:r>
      <w:r w:rsidR="009712A3" w:rsidRPr="000A2CF3">
        <w:rPr>
          <w:rFonts w:cs="Arial"/>
          <w:szCs w:val="24"/>
        </w:rPr>
        <w:t xml:space="preserve"> </w:t>
      </w:r>
      <w:r w:rsidRPr="009712A3">
        <w:rPr>
          <w:rFonts w:cs="Arial"/>
          <w:szCs w:val="24"/>
        </w:rPr>
        <w:t>resultin</w:t>
      </w:r>
      <w:r w:rsidR="008B4D29" w:rsidRPr="009712A3">
        <w:rPr>
          <w:rFonts w:cs="Arial"/>
          <w:szCs w:val="24"/>
        </w:rPr>
        <w:t xml:space="preserve">g in forecast </w:t>
      </w:r>
      <w:r w:rsidR="006D48DB">
        <w:rPr>
          <w:rFonts w:cs="Arial"/>
          <w:szCs w:val="24"/>
        </w:rPr>
        <w:t>variance</w:t>
      </w:r>
      <w:r w:rsidR="008B4D29" w:rsidRPr="009712A3">
        <w:rPr>
          <w:rFonts w:cs="Arial"/>
          <w:szCs w:val="24"/>
        </w:rPr>
        <w:t xml:space="preserve"> (£1</w:t>
      </w:r>
      <w:r w:rsidR="009712A3" w:rsidRPr="000A2CF3">
        <w:rPr>
          <w:rFonts w:cs="Arial"/>
          <w:szCs w:val="24"/>
        </w:rPr>
        <w:t>9.155</w:t>
      </w:r>
      <w:r w:rsidR="008B4D29" w:rsidRPr="009712A3">
        <w:rPr>
          <w:rFonts w:cs="Arial"/>
          <w:szCs w:val="24"/>
        </w:rPr>
        <w:t>m)</w:t>
      </w:r>
      <w:r w:rsidR="004848F3" w:rsidRPr="009712A3">
        <w:rPr>
          <w:rFonts w:cs="Arial"/>
          <w:szCs w:val="24"/>
        </w:rPr>
        <w:t xml:space="preserve"> of which £</w:t>
      </w:r>
      <w:r w:rsidR="008B4D29" w:rsidRPr="009712A3">
        <w:rPr>
          <w:rFonts w:cs="Arial"/>
          <w:szCs w:val="24"/>
        </w:rPr>
        <w:t>1</w:t>
      </w:r>
      <w:r w:rsidR="009712A3" w:rsidRPr="000A2CF3">
        <w:rPr>
          <w:rFonts w:cs="Arial"/>
          <w:szCs w:val="24"/>
        </w:rPr>
        <w:t>7.192</w:t>
      </w:r>
      <w:r w:rsidR="008B4D29" w:rsidRPr="009712A3">
        <w:rPr>
          <w:rFonts w:cs="Arial"/>
          <w:szCs w:val="24"/>
        </w:rPr>
        <w:t xml:space="preserve">m will be slipped into 2018/19 and £1.964m will be removed from the programme. </w:t>
      </w:r>
    </w:p>
    <w:p w14:paraId="4B9A35A6" w14:textId="77777777" w:rsidR="004848F3" w:rsidRPr="000C0919" w:rsidRDefault="004848F3" w:rsidP="00CB1B58">
      <w:pPr>
        <w:pStyle w:val="ListParagraph"/>
        <w:ind w:left="788"/>
        <w:jc w:val="both"/>
        <w:rPr>
          <w:rFonts w:cs="Arial"/>
          <w:szCs w:val="24"/>
        </w:rPr>
      </w:pPr>
    </w:p>
    <w:p w14:paraId="109B9451" w14:textId="2D90473A" w:rsidR="003D0738" w:rsidRPr="000A2CF3" w:rsidRDefault="006D48DB" w:rsidP="000A2CF3">
      <w:pPr>
        <w:pStyle w:val="ListParagraph"/>
        <w:numPr>
          <w:ilvl w:val="0"/>
          <w:numId w:val="95"/>
        </w:numPr>
        <w:ind w:left="709" w:hanging="709"/>
        <w:jc w:val="both"/>
        <w:rPr>
          <w:bCs/>
          <w:color w:val="FF0000"/>
        </w:rPr>
      </w:pPr>
      <w:r>
        <w:rPr>
          <w:rFonts w:cs="Arial"/>
          <w:szCs w:val="24"/>
        </w:rPr>
        <w:t xml:space="preserve">The </w:t>
      </w:r>
      <w:r w:rsidR="009F4A02" w:rsidRPr="00D44988">
        <w:rPr>
          <w:rFonts w:cs="Arial"/>
          <w:szCs w:val="24"/>
        </w:rPr>
        <w:t xml:space="preserve">HRA main planned investment programme </w:t>
      </w:r>
      <w:r w:rsidR="008B4D29" w:rsidRPr="00D44988">
        <w:rPr>
          <w:rFonts w:cs="Arial"/>
          <w:szCs w:val="24"/>
        </w:rPr>
        <w:t xml:space="preserve">is </w:t>
      </w:r>
      <w:r w:rsidR="009F4A02" w:rsidRPr="00D44988">
        <w:rPr>
          <w:rFonts w:cs="Arial"/>
          <w:szCs w:val="24"/>
        </w:rPr>
        <w:t>slipp</w:t>
      </w:r>
      <w:r w:rsidR="008B4D29" w:rsidRPr="00D44988">
        <w:rPr>
          <w:rFonts w:cs="Arial"/>
          <w:szCs w:val="24"/>
        </w:rPr>
        <w:t>ing</w:t>
      </w:r>
      <w:r w:rsidR="009F4A02" w:rsidRPr="00D44988">
        <w:rPr>
          <w:rFonts w:cs="Arial"/>
          <w:szCs w:val="24"/>
        </w:rPr>
        <w:t xml:space="preserve"> </w:t>
      </w:r>
      <w:r w:rsidR="008B4D29" w:rsidRPr="00D44988">
        <w:rPr>
          <w:rFonts w:cs="Arial"/>
          <w:szCs w:val="24"/>
        </w:rPr>
        <w:t xml:space="preserve"> </w:t>
      </w:r>
      <w:r w:rsidR="000572B9" w:rsidRPr="00D44988">
        <w:rPr>
          <w:rFonts w:cs="Arial"/>
          <w:szCs w:val="24"/>
        </w:rPr>
        <w:t>£1.930m</w:t>
      </w:r>
      <w:r>
        <w:rPr>
          <w:rFonts w:cs="Arial"/>
          <w:szCs w:val="24"/>
        </w:rPr>
        <w:t xml:space="preserve"> to 2018/19</w:t>
      </w:r>
      <w:r w:rsidR="008B4D29" w:rsidRPr="00D44988">
        <w:rPr>
          <w:rFonts w:cs="Arial"/>
          <w:szCs w:val="24"/>
        </w:rPr>
        <w:t xml:space="preserve"> and under spending</w:t>
      </w:r>
      <w:r w:rsidR="00E36CA7" w:rsidRPr="00D44988">
        <w:rPr>
          <w:rFonts w:cs="Arial"/>
          <w:szCs w:val="24"/>
        </w:rPr>
        <w:t xml:space="preserve"> </w:t>
      </w:r>
      <w:r w:rsidR="008B4D29" w:rsidRPr="00D44988">
        <w:rPr>
          <w:rFonts w:cs="Arial"/>
          <w:szCs w:val="24"/>
        </w:rPr>
        <w:t xml:space="preserve">by </w:t>
      </w:r>
      <w:r w:rsidR="009F4A02" w:rsidRPr="00D44988">
        <w:rPr>
          <w:rFonts w:cs="Arial"/>
          <w:szCs w:val="24"/>
        </w:rPr>
        <w:t>£1.964m</w:t>
      </w:r>
      <w:r w:rsidR="008B4D29" w:rsidRPr="00D44988">
        <w:rPr>
          <w:rFonts w:cs="Arial"/>
          <w:szCs w:val="24"/>
        </w:rPr>
        <w:t>. The implication of</w:t>
      </w:r>
      <w:r w:rsidR="00E36CA7" w:rsidRPr="00D44988">
        <w:rPr>
          <w:rFonts w:cs="Arial"/>
          <w:szCs w:val="24"/>
        </w:rPr>
        <w:t xml:space="preserve"> the</w:t>
      </w:r>
      <w:r w:rsidR="008B4D29" w:rsidRPr="00D44988">
        <w:rPr>
          <w:rFonts w:cs="Arial"/>
          <w:szCs w:val="24"/>
        </w:rPr>
        <w:t xml:space="preserve"> </w:t>
      </w:r>
      <w:r w:rsidR="00E36CA7" w:rsidRPr="00D44988">
        <w:rPr>
          <w:rFonts w:cs="Arial"/>
          <w:szCs w:val="24"/>
        </w:rPr>
        <w:t xml:space="preserve">£1.964m </w:t>
      </w:r>
      <w:r w:rsidR="008B4D29" w:rsidRPr="00D44988">
        <w:rPr>
          <w:rFonts w:cs="Arial"/>
          <w:szCs w:val="24"/>
        </w:rPr>
        <w:t xml:space="preserve">underspend is that </w:t>
      </w:r>
      <w:r w:rsidR="009F4A02" w:rsidRPr="00D44988">
        <w:rPr>
          <w:rFonts w:cs="Arial"/>
          <w:szCs w:val="24"/>
        </w:rPr>
        <w:t>some improvement schemes</w:t>
      </w:r>
      <w:r w:rsidR="008B4D29" w:rsidRPr="00D44988">
        <w:rPr>
          <w:rFonts w:cs="Arial"/>
          <w:szCs w:val="24"/>
        </w:rPr>
        <w:t xml:space="preserve"> affecting Council tenants will be</w:t>
      </w:r>
      <w:r w:rsidR="009F4A02" w:rsidRPr="00D44988">
        <w:rPr>
          <w:rFonts w:cs="Arial"/>
          <w:szCs w:val="24"/>
        </w:rPr>
        <w:t xml:space="preserve"> delayed although priority</w:t>
      </w:r>
      <w:r w:rsidR="00E36CA7" w:rsidRPr="00D44988">
        <w:rPr>
          <w:rFonts w:cs="Arial"/>
          <w:szCs w:val="24"/>
        </w:rPr>
        <w:t xml:space="preserve"> is</w:t>
      </w:r>
      <w:r w:rsidR="009F4A02" w:rsidRPr="00D44988">
        <w:rPr>
          <w:rFonts w:cs="Arial"/>
          <w:szCs w:val="24"/>
        </w:rPr>
        <w:t xml:space="preserve"> given to mandatory Health &amp; Safety works and statutory works; the slippage relates to contractually committed expenditure which will all be spent in 2018</w:t>
      </w:r>
      <w:r w:rsidR="00CC2689" w:rsidRPr="00D44988">
        <w:rPr>
          <w:rFonts w:cs="Arial"/>
          <w:szCs w:val="24"/>
        </w:rPr>
        <w:t>/</w:t>
      </w:r>
      <w:r w:rsidR="009F4A02" w:rsidRPr="00D44988">
        <w:rPr>
          <w:rFonts w:cs="Arial"/>
          <w:szCs w:val="24"/>
        </w:rPr>
        <w:t>19.</w:t>
      </w:r>
      <w:r w:rsidR="007301C1" w:rsidRPr="00D44988">
        <w:rPr>
          <w:bCs/>
          <w:color w:val="FF0000"/>
        </w:rPr>
        <w:t xml:space="preserve"> </w:t>
      </w:r>
      <w:r w:rsidR="000572B9" w:rsidRPr="000A2CF3">
        <w:rPr>
          <w:bCs/>
          <w:color w:val="000000" w:themeColor="text1"/>
        </w:rPr>
        <w:t>As the expenditure is funded mainly from HRA capital reserves and not borrowing there is</w:t>
      </w:r>
      <w:r w:rsidR="008F3AC2" w:rsidRPr="000A2CF3">
        <w:rPr>
          <w:bCs/>
          <w:color w:val="000000" w:themeColor="text1"/>
        </w:rPr>
        <w:t xml:space="preserve"> no </w:t>
      </w:r>
      <w:r w:rsidR="00D44988" w:rsidRPr="00D44988">
        <w:rPr>
          <w:bCs/>
          <w:color w:val="000000" w:themeColor="text1"/>
        </w:rPr>
        <w:t xml:space="preserve">revenue </w:t>
      </w:r>
      <w:r w:rsidR="008F3AC2" w:rsidRPr="000A2CF3">
        <w:rPr>
          <w:bCs/>
          <w:color w:val="000000" w:themeColor="text1"/>
        </w:rPr>
        <w:t>impact</w:t>
      </w:r>
      <w:r w:rsidR="00D44988" w:rsidRPr="00D44988">
        <w:rPr>
          <w:bCs/>
          <w:color w:val="000000" w:themeColor="text1"/>
        </w:rPr>
        <w:t>.</w:t>
      </w:r>
    </w:p>
    <w:p w14:paraId="53C25327" w14:textId="77777777" w:rsidR="004848F3" w:rsidRPr="000A2CF3" w:rsidRDefault="004848F3" w:rsidP="000A2CF3">
      <w:pPr>
        <w:pStyle w:val="ListParagraph"/>
        <w:ind w:left="709"/>
        <w:jc w:val="both"/>
        <w:rPr>
          <w:rFonts w:cs="Arial"/>
          <w:szCs w:val="24"/>
          <w:highlight w:val="yellow"/>
        </w:rPr>
      </w:pPr>
    </w:p>
    <w:p w14:paraId="56EE1B91" w14:textId="13093BEA" w:rsidR="009F4A02" w:rsidRPr="000A2CF3" w:rsidRDefault="006D48DB" w:rsidP="000A2CF3">
      <w:pPr>
        <w:pStyle w:val="ListParagraph"/>
        <w:numPr>
          <w:ilvl w:val="0"/>
          <w:numId w:val="95"/>
        </w:numPr>
        <w:ind w:left="709" w:hanging="709"/>
        <w:jc w:val="both"/>
        <w:rPr>
          <w:rFonts w:cs="Arial"/>
          <w:color w:val="FF0000"/>
          <w:szCs w:val="24"/>
        </w:rPr>
      </w:pPr>
      <w:r>
        <w:rPr>
          <w:rFonts w:cs="Arial"/>
          <w:szCs w:val="24"/>
        </w:rPr>
        <w:t>The r</w:t>
      </w:r>
      <w:r w:rsidR="009F4A02" w:rsidRPr="00CA10B9">
        <w:rPr>
          <w:rFonts w:cs="Arial"/>
          <w:szCs w:val="24"/>
        </w:rPr>
        <w:t>emaining slippage of £1</w:t>
      </w:r>
      <w:r w:rsidR="00CA10B9" w:rsidRPr="000A2CF3">
        <w:rPr>
          <w:rFonts w:cs="Arial"/>
          <w:szCs w:val="24"/>
        </w:rPr>
        <w:t>5.261</w:t>
      </w:r>
      <w:r w:rsidR="009F4A02" w:rsidRPr="00CA10B9">
        <w:rPr>
          <w:rFonts w:cs="Arial"/>
          <w:szCs w:val="24"/>
        </w:rPr>
        <w:t>m relates to</w:t>
      </w:r>
      <w:r>
        <w:rPr>
          <w:rFonts w:cs="Arial"/>
          <w:szCs w:val="24"/>
        </w:rPr>
        <w:t xml:space="preserve"> the</w:t>
      </w:r>
      <w:r w:rsidR="009F4A02" w:rsidRPr="00CA10B9">
        <w:rPr>
          <w:rFonts w:cs="Arial"/>
          <w:szCs w:val="24"/>
        </w:rPr>
        <w:t xml:space="preserve"> Grange Farm Regeneration scheme</w:t>
      </w:r>
      <w:r w:rsidR="00A70327">
        <w:rPr>
          <w:rFonts w:cs="Arial"/>
          <w:szCs w:val="24"/>
        </w:rPr>
        <w:t xml:space="preserve"> £5.25</w:t>
      </w:r>
      <w:r w:rsidR="008F3AC2">
        <w:rPr>
          <w:rFonts w:cs="Arial"/>
          <w:szCs w:val="24"/>
        </w:rPr>
        <w:t>0m,</w:t>
      </w:r>
      <w:r w:rsidR="009F4A02" w:rsidRPr="00CA10B9">
        <w:rPr>
          <w:rFonts w:cs="Arial"/>
          <w:szCs w:val="24"/>
        </w:rPr>
        <w:t xml:space="preserve"> and Infill New Build scheme</w:t>
      </w:r>
      <w:r w:rsidR="008F3AC2">
        <w:rPr>
          <w:rFonts w:cs="Arial"/>
          <w:szCs w:val="24"/>
        </w:rPr>
        <w:t xml:space="preserve"> £</w:t>
      </w:r>
      <w:r w:rsidR="00815C26">
        <w:rPr>
          <w:rFonts w:cs="Arial"/>
          <w:szCs w:val="24"/>
        </w:rPr>
        <w:t>10.011</w:t>
      </w:r>
      <w:r w:rsidR="008F3AC2">
        <w:rPr>
          <w:rFonts w:cs="Arial"/>
          <w:szCs w:val="24"/>
        </w:rPr>
        <w:t>m</w:t>
      </w:r>
      <w:r w:rsidR="009F4A02" w:rsidRPr="00CA10B9">
        <w:rPr>
          <w:rFonts w:cs="Arial"/>
          <w:szCs w:val="24"/>
        </w:rPr>
        <w:t>, arising from delays in planning and procurement. This will result in delays in providing new houses in Council’s HRA to replace those lost through right to buys</w:t>
      </w:r>
      <w:r w:rsidR="000C0919">
        <w:rPr>
          <w:rFonts w:cs="Arial"/>
          <w:szCs w:val="24"/>
        </w:rPr>
        <w:t xml:space="preserve"> </w:t>
      </w:r>
      <w:r w:rsidR="009F4A02" w:rsidRPr="00CA10B9">
        <w:rPr>
          <w:rFonts w:cs="Arial"/>
          <w:szCs w:val="24"/>
        </w:rPr>
        <w:t>and delivery of regenerated Grange Farm Estate</w:t>
      </w:r>
      <w:r w:rsidR="00B41ECB">
        <w:rPr>
          <w:rFonts w:cs="Arial"/>
          <w:szCs w:val="24"/>
        </w:rPr>
        <w:t xml:space="preserve"> r</w:t>
      </w:r>
      <w:r w:rsidR="008F3AC2">
        <w:rPr>
          <w:rFonts w:cs="Arial"/>
          <w:szCs w:val="24"/>
        </w:rPr>
        <w:t>esulting in lower than expected net rental income.</w:t>
      </w:r>
    </w:p>
    <w:p w14:paraId="3B1D6E68" w14:textId="77777777" w:rsidR="00001D6F" w:rsidRPr="009F4A02" w:rsidRDefault="00001D6F" w:rsidP="00CB1B58">
      <w:pPr>
        <w:pStyle w:val="ListParagraph"/>
        <w:rPr>
          <w:rFonts w:cs="Arial"/>
          <w:szCs w:val="24"/>
          <w:highlight w:val="yellow"/>
        </w:rPr>
      </w:pPr>
    </w:p>
    <w:p w14:paraId="35C9A00C" w14:textId="77777777" w:rsidR="00C02097" w:rsidRDefault="00C02097" w:rsidP="00BB0A57">
      <w:pPr>
        <w:pStyle w:val="ListParagraph"/>
        <w:rPr>
          <w:rFonts w:cs="Arial"/>
          <w:szCs w:val="24"/>
          <w:highlight w:val="yellow"/>
        </w:rPr>
      </w:pPr>
    </w:p>
    <w:p w14:paraId="20C56AA8" w14:textId="77777777" w:rsidR="00E210B9" w:rsidRPr="00CB1B58" w:rsidRDefault="00E210B9" w:rsidP="001E2D71">
      <w:pPr>
        <w:pStyle w:val="ListParagraph"/>
        <w:ind w:left="709"/>
        <w:rPr>
          <w:rFonts w:cs="Arial"/>
          <w:b/>
          <w:szCs w:val="24"/>
          <w:highlight w:val="yellow"/>
        </w:rPr>
      </w:pPr>
    </w:p>
    <w:p w14:paraId="335579A1" w14:textId="6E24B7EA" w:rsidR="001E2D71" w:rsidRPr="000A2CF3" w:rsidRDefault="001E2D71" w:rsidP="001E2D71">
      <w:pPr>
        <w:pStyle w:val="ListParagraph"/>
        <w:ind w:left="709"/>
        <w:rPr>
          <w:rFonts w:cs="Arial"/>
          <w:b/>
          <w:szCs w:val="24"/>
          <w:u w:val="single"/>
        </w:rPr>
      </w:pPr>
      <w:r w:rsidRPr="000A2CF3">
        <w:rPr>
          <w:rFonts w:cs="Arial"/>
          <w:b/>
          <w:szCs w:val="24"/>
          <w:u w:val="single"/>
        </w:rPr>
        <w:t>AMENDMENT</w:t>
      </w:r>
      <w:r w:rsidR="006A0DA8" w:rsidRPr="000A2CF3">
        <w:rPr>
          <w:rFonts w:cs="Arial"/>
          <w:b/>
          <w:szCs w:val="24"/>
          <w:u w:val="single"/>
        </w:rPr>
        <w:t>S</w:t>
      </w:r>
      <w:r w:rsidRPr="000A2CF3">
        <w:rPr>
          <w:rFonts w:cs="Arial"/>
          <w:b/>
          <w:szCs w:val="24"/>
          <w:u w:val="single"/>
        </w:rPr>
        <w:t xml:space="preserve"> TO </w:t>
      </w:r>
      <w:r w:rsidR="006A0DA8" w:rsidRPr="000A2CF3">
        <w:rPr>
          <w:rFonts w:cs="Arial"/>
          <w:b/>
          <w:szCs w:val="24"/>
          <w:u w:val="single"/>
        </w:rPr>
        <w:t xml:space="preserve">THE </w:t>
      </w:r>
      <w:r w:rsidRPr="000A2CF3">
        <w:rPr>
          <w:rFonts w:cs="Arial"/>
          <w:b/>
          <w:szCs w:val="24"/>
          <w:u w:val="single"/>
        </w:rPr>
        <w:t>CAPITAL PROGRAMME</w:t>
      </w:r>
    </w:p>
    <w:p w14:paraId="72ED0E56" w14:textId="77777777" w:rsidR="001E2D71" w:rsidRPr="00C02097" w:rsidRDefault="001E2D71" w:rsidP="001E2D71">
      <w:pPr>
        <w:pStyle w:val="ListParagraph"/>
        <w:ind w:left="709"/>
        <w:rPr>
          <w:rFonts w:cs="Arial"/>
          <w:b/>
          <w:szCs w:val="24"/>
        </w:rPr>
      </w:pPr>
    </w:p>
    <w:p w14:paraId="0B4BF840" w14:textId="43F26C9D" w:rsidR="001E2D71" w:rsidRPr="00C02097" w:rsidRDefault="001E2D71" w:rsidP="001E2D71">
      <w:pPr>
        <w:pStyle w:val="ListParagraph"/>
        <w:ind w:left="709"/>
        <w:rPr>
          <w:rFonts w:cs="Arial"/>
          <w:b/>
          <w:i/>
          <w:szCs w:val="24"/>
          <w:u w:val="single"/>
        </w:rPr>
      </w:pPr>
      <w:r w:rsidRPr="00C02097">
        <w:rPr>
          <w:rFonts w:cs="Arial"/>
          <w:b/>
          <w:i/>
          <w:szCs w:val="24"/>
          <w:u w:val="single"/>
        </w:rPr>
        <w:t>Addition</w:t>
      </w:r>
      <w:r w:rsidR="00AE4D79" w:rsidRPr="00C02097">
        <w:rPr>
          <w:rFonts w:cs="Arial"/>
          <w:b/>
          <w:i/>
          <w:szCs w:val="24"/>
          <w:u w:val="single"/>
        </w:rPr>
        <w:t>s</w:t>
      </w:r>
      <w:r w:rsidRPr="00C02097">
        <w:rPr>
          <w:rFonts w:cs="Arial"/>
          <w:b/>
          <w:i/>
          <w:szCs w:val="24"/>
          <w:u w:val="single"/>
        </w:rPr>
        <w:t xml:space="preserve"> to </w:t>
      </w:r>
      <w:r w:rsidR="00AE4D79" w:rsidRPr="00C02097">
        <w:rPr>
          <w:rFonts w:cs="Arial"/>
          <w:b/>
          <w:i/>
          <w:szCs w:val="24"/>
          <w:u w:val="single"/>
        </w:rPr>
        <w:t xml:space="preserve">the </w:t>
      </w:r>
      <w:r w:rsidRPr="00C02097">
        <w:rPr>
          <w:rFonts w:cs="Arial"/>
          <w:b/>
          <w:i/>
          <w:szCs w:val="24"/>
          <w:u w:val="single"/>
        </w:rPr>
        <w:t>capital programme</w:t>
      </w:r>
    </w:p>
    <w:p w14:paraId="66AC3962" w14:textId="77777777" w:rsidR="001E2D71" w:rsidRPr="002541E5" w:rsidRDefault="001E2D71" w:rsidP="001E2D71">
      <w:pPr>
        <w:pStyle w:val="ListParagraph"/>
        <w:rPr>
          <w:rFonts w:cs="Arial"/>
          <w:b/>
          <w:szCs w:val="24"/>
        </w:rPr>
      </w:pPr>
    </w:p>
    <w:p w14:paraId="50D55B80" w14:textId="77A2E7A2" w:rsidR="001C1074" w:rsidRPr="005105B4" w:rsidRDefault="001C1074" w:rsidP="000A2CF3">
      <w:pPr>
        <w:pStyle w:val="ListParagraph"/>
        <w:numPr>
          <w:ilvl w:val="0"/>
          <w:numId w:val="95"/>
        </w:numPr>
        <w:ind w:left="709" w:hanging="709"/>
        <w:jc w:val="both"/>
        <w:rPr>
          <w:rFonts w:cs="Arial"/>
          <w:szCs w:val="24"/>
        </w:rPr>
      </w:pPr>
      <w:r w:rsidRPr="001C1074">
        <w:rPr>
          <w:rFonts w:cs="Arial"/>
          <w:bCs/>
          <w:szCs w:val="24"/>
        </w:rPr>
        <w:t>The Headstone Manor restoration project is now complete and the capital element of the costs is forecast to</w:t>
      </w:r>
      <w:r w:rsidR="00D97F6E">
        <w:rPr>
          <w:rFonts w:cs="Arial"/>
          <w:bCs/>
          <w:szCs w:val="24"/>
        </w:rPr>
        <w:t xml:space="preserve"> overspend by £</w:t>
      </w:r>
      <w:r w:rsidR="0075587A">
        <w:rPr>
          <w:rFonts w:cs="Arial"/>
          <w:bCs/>
          <w:szCs w:val="24"/>
        </w:rPr>
        <w:t>0.</w:t>
      </w:r>
      <w:r w:rsidR="00D97F6E">
        <w:rPr>
          <w:rFonts w:cs="Arial"/>
          <w:bCs/>
          <w:szCs w:val="24"/>
        </w:rPr>
        <w:t>459</w:t>
      </w:r>
      <w:r w:rsidR="0075587A">
        <w:rPr>
          <w:rFonts w:cs="Arial"/>
          <w:bCs/>
          <w:szCs w:val="24"/>
        </w:rPr>
        <w:t>m</w:t>
      </w:r>
      <w:r w:rsidR="00D97F6E">
        <w:rPr>
          <w:rFonts w:cs="Arial"/>
          <w:bCs/>
          <w:szCs w:val="24"/>
        </w:rPr>
        <w:t xml:space="preserve"> </w:t>
      </w:r>
      <w:r w:rsidRPr="001C1074">
        <w:rPr>
          <w:rFonts w:cs="Arial"/>
          <w:bCs/>
          <w:szCs w:val="24"/>
        </w:rPr>
        <w:t>in 17/18</w:t>
      </w:r>
      <w:r w:rsidR="00D97F6E">
        <w:rPr>
          <w:rFonts w:cs="Arial"/>
          <w:bCs/>
          <w:szCs w:val="24"/>
        </w:rPr>
        <w:t>,</w:t>
      </w:r>
      <w:r w:rsidRPr="001C1074">
        <w:rPr>
          <w:rFonts w:cs="Arial"/>
          <w:bCs/>
          <w:szCs w:val="24"/>
        </w:rPr>
        <w:t xml:space="preserve"> </w:t>
      </w:r>
      <w:r w:rsidR="00D97F6E">
        <w:rPr>
          <w:rFonts w:cs="Arial"/>
          <w:bCs/>
          <w:szCs w:val="24"/>
        </w:rPr>
        <w:t xml:space="preserve">this is because </w:t>
      </w:r>
      <w:r w:rsidRPr="001C1074">
        <w:rPr>
          <w:rFonts w:cs="Arial"/>
          <w:bCs/>
          <w:szCs w:val="24"/>
        </w:rPr>
        <w:t>additional work</w:t>
      </w:r>
      <w:r w:rsidR="00D97F6E">
        <w:rPr>
          <w:rFonts w:cs="Arial"/>
          <w:bCs/>
          <w:szCs w:val="24"/>
        </w:rPr>
        <w:t>s</w:t>
      </w:r>
      <w:r w:rsidRPr="001C1074">
        <w:rPr>
          <w:rFonts w:cs="Arial"/>
          <w:bCs/>
          <w:szCs w:val="24"/>
        </w:rPr>
        <w:t xml:space="preserve"> has been carried out</w:t>
      </w:r>
      <w:r w:rsidR="00D97F6E">
        <w:rPr>
          <w:rFonts w:cs="Arial"/>
          <w:bCs/>
          <w:szCs w:val="24"/>
        </w:rPr>
        <w:t>.</w:t>
      </w:r>
      <w:r w:rsidRPr="001C1074">
        <w:rPr>
          <w:rFonts w:cs="Arial"/>
          <w:bCs/>
          <w:szCs w:val="24"/>
        </w:rPr>
        <w:t xml:space="preserve"> </w:t>
      </w:r>
      <w:r w:rsidR="00D97F6E">
        <w:rPr>
          <w:rFonts w:cs="Arial"/>
          <w:bCs/>
          <w:szCs w:val="24"/>
        </w:rPr>
        <w:t>T</w:t>
      </w:r>
      <w:r w:rsidRPr="001C1074">
        <w:rPr>
          <w:rFonts w:cs="Arial"/>
          <w:bCs/>
          <w:szCs w:val="24"/>
        </w:rPr>
        <w:t xml:space="preserve">he level of spend is still within the overall funding envelope for the project. It is proposed that </w:t>
      </w:r>
      <w:r>
        <w:rPr>
          <w:rFonts w:cs="Arial"/>
          <w:bCs/>
          <w:szCs w:val="24"/>
        </w:rPr>
        <w:t>£</w:t>
      </w:r>
      <w:r w:rsidR="0075587A">
        <w:rPr>
          <w:rFonts w:cs="Arial"/>
          <w:bCs/>
          <w:szCs w:val="24"/>
        </w:rPr>
        <w:t>0.</w:t>
      </w:r>
      <w:r>
        <w:rPr>
          <w:rFonts w:cs="Arial"/>
          <w:bCs/>
          <w:szCs w:val="24"/>
        </w:rPr>
        <w:t>317</w:t>
      </w:r>
      <w:r w:rsidR="0075587A">
        <w:rPr>
          <w:rFonts w:cs="Arial"/>
          <w:bCs/>
          <w:szCs w:val="24"/>
        </w:rPr>
        <w:t>m</w:t>
      </w:r>
      <w:r>
        <w:rPr>
          <w:rFonts w:cs="Arial"/>
          <w:bCs/>
          <w:szCs w:val="24"/>
        </w:rPr>
        <w:t xml:space="preserve"> budget be added to the capital programme </w:t>
      </w:r>
      <w:r>
        <w:rPr>
          <w:rFonts w:cs="Arial"/>
          <w:bCs/>
          <w:szCs w:val="24"/>
        </w:rPr>
        <w:lastRenderedPageBreak/>
        <w:t>and £</w:t>
      </w:r>
      <w:r w:rsidR="0075587A">
        <w:rPr>
          <w:rFonts w:cs="Arial"/>
          <w:bCs/>
          <w:szCs w:val="24"/>
        </w:rPr>
        <w:t>0.</w:t>
      </w:r>
      <w:r>
        <w:rPr>
          <w:rFonts w:cs="Arial"/>
          <w:bCs/>
          <w:szCs w:val="24"/>
        </w:rPr>
        <w:t>142</w:t>
      </w:r>
      <w:r w:rsidR="0075587A">
        <w:rPr>
          <w:rFonts w:cs="Arial"/>
          <w:bCs/>
          <w:szCs w:val="24"/>
        </w:rPr>
        <w:t>m</w:t>
      </w:r>
      <w:r>
        <w:rPr>
          <w:rFonts w:cs="Arial"/>
          <w:bCs/>
          <w:szCs w:val="24"/>
        </w:rPr>
        <w:t xml:space="preserve"> be brought forward from 2018/19 to 2017/18 capital programme. These are all externally funded.</w:t>
      </w:r>
    </w:p>
    <w:p w14:paraId="4F6A93B4" w14:textId="77777777" w:rsidR="00B271FD" w:rsidRPr="005105B4" w:rsidRDefault="00B271FD" w:rsidP="000A3C5C">
      <w:pPr>
        <w:pStyle w:val="ListParagraph"/>
        <w:ind w:left="709"/>
        <w:jc w:val="both"/>
        <w:rPr>
          <w:rFonts w:cs="Arial"/>
          <w:szCs w:val="24"/>
        </w:rPr>
      </w:pPr>
    </w:p>
    <w:p w14:paraId="35A3E85D" w14:textId="4D8A095F" w:rsidR="00B271FD" w:rsidRDefault="00B271FD" w:rsidP="000A2CF3">
      <w:pPr>
        <w:pStyle w:val="ListParagraph"/>
        <w:numPr>
          <w:ilvl w:val="0"/>
          <w:numId w:val="95"/>
        </w:numPr>
        <w:ind w:left="709" w:hanging="709"/>
        <w:jc w:val="both"/>
        <w:rPr>
          <w:rFonts w:cs="Arial"/>
          <w:szCs w:val="24"/>
        </w:rPr>
      </w:pPr>
      <w:r w:rsidRPr="00B271FD">
        <w:rPr>
          <w:rFonts w:cs="Arial"/>
          <w:szCs w:val="24"/>
        </w:rPr>
        <w:t>The Council has successfully secured a capital grant of £</w:t>
      </w:r>
      <w:r w:rsidR="0075587A">
        <w:rPr>
          <w:rFonts w:cs="Arial"/>
          <w:szCs w:val="24"/>
        </w:rPr>
        <w:t>0.0</w:t>
      </w:r>
      <w:r w:rsidRPr="00B271FD">
        <w:rPr>
          <w:rFonts w:cs="Arial"/>
          <w:szCs w:val="24"/>
        </w:rPr>
        <w:t>25</w:t>
      </w:r>
      <w:r w:rsidR="0075587A">
        <w:rPr>
          <w:rFonts w:cs="Arial"/>
          <w:szCs w:val="24"/>
        </w:rPr>
        <w:t>m</w:t>
      </w:r>
      <w:r w:rsidRPr="00B271FD">
        <w:rPr>
          <w:rFonts w:cs="Arial"/>
          <w:szCs w:val="24"/>
        </w:rPr>
        <w:t xml:space="preserve"> from the GLA for the purchase of IT equipment to support the delivery of community learning and skills focused education. The grant is profiled as £</w:t>
      </w:r>
      <w:r w:rsidR="0075587A">
        <w:rPr>
          <w:rFonts w:cs="Arial"/>
          <w:szCs w:val="24"/>
        </w:rPr>
        <w:t>0.0</w:t>
      </w:r>
      <w:r w:rsidRPr="00B271FD">
        <w:rPr>
          <w:rFonts w:cs="Arial"/>
          <w:szCs w:val="24"/>
        </w:rPr>
        <w:t>15</w:t>
      </w:r>
      <w:r w:rsidR="0075587A">
        <w:rPr>
          <w:rFonts w:cs="Arial"/>
          <w:szCs w:val="24"/>
        </w:rPr>
        <w:t>m</w:t>
      </w:r>
      <w:r w:rsidRPr="00B271FD">
        <w:rPr>
          <w:rFonts w:cs="Arial"/>
          <w:szCs w:val="24"/>
        </w:rPr>
        <w:t xml:space="preserve"> in 17/18 and £</w:t>
      </w:r>
      <w:r w:rsidR="0075587A">
        <w:rPr>
          <w:rFonts w:cs="Arial"/>
          <w:szCs w:val="24"/>
        </w:rPr>
        <w:t>0.0</w:t>
      </w:r>
      <w:r w:rsidRPr="00B271FD">
        <w:rPr>
          <w:rFonts w:cs="Arial"/>
          <w:szCs w:val="24"/>
        </w:rPr>
        <w:t>10</w:t>
      </w:r>
      <w:r w:rsidR="0075587A">
        <w:rPr>
          <w:rFonts w:cs="Arial"/>
          <w:szCs w:val="24"/>
        </w:rPr>
        <w:t>m</w:t>
      </w:r>
      <w:r w:rsidRPr="00B271FD">
        <w:rPr>
          <w:rFonts w:cs="Arial"/>
          <w:szCs w:val="24"/>
        </w:rPr>
        <w:t xml:space="preserve"> in 18/19. Match funding from Harrow of £</w:t>
      </w:r>
      <w:r w:rsidR="0075587A">
        <w:rPr>
          <w:rFonts w:cs="Arial"/>
          <w:szCs w:val="24"/>
        </w:rPr>
        <w:t>0.0</w:t>
      </w:r>
      <w:r w:rsidRPr="00B271FD">
        <w:rPr>
          <w:rFonts w:cs="Arial"/>
          <w:szCs w:val="24"/>
        </w:rPr>
        <w:t>25</w:t>
      </w:r>
      <w:r w:rsidR="0075587A">
        <w:rPr>
          <w:rFonts w:cs="Arial"/>
          <w:szCs w:val="24"/>
        </w:rPr>
        <w:t>m</w:t>
      </w:r>
      <w:r w:rsidRPr="00B271FD">
        <w:rPr>
          <w:rFonts w:cs="Arial"/>
          <w:szCs w:val="24"/>
        </w:rPr>
        <w:t xml:space="preserve"> is to be provided for this project, via the external fund</w:t>
      </w:r>
      <w:r w:rsidR="0075587A">
        <w:rPr>
          <w:rFonts w:cs="Arial"/>
          <w:szCs w:val="24"/>
        </w:rPr>
        <w:t xml:space="preserve">ing from Skills Funding Agency, </w:t>
      </w:r>
      <w:r w:rsidRPr="00B271FD">
        <w:rPr>
          <w:rFonts w:cs="Arial"/>
          <w:szCs w:val="24"/>
        </w:rPr>
        <w:t>that the Service obtains annually to meet its costs. It is therefore proposed that this new project is added to the current capital programme as follows</w:t>
      </w:r>
      <w:r>
        <w:rPr>
          <w:rFonts w:cs="Arial"/>
          <w:szCs w:val="24"/>
        </w:rPr>
        <w:t>:</w:t>
      </w:r>
    </w:p>
    <w:p w14:paraId="51FCBCF2" w14:textId="77777777" w:rsidR="00B271FD" w:rsidRDefault="00B271FD" w:rsidP="000A3C5C">
      <w:pPr>
        <w:pStyle w:val="ListParagraph"/>
        <w:rPr>
          <w:rFonts w:cs="Arial"/>
          <w:szCs w:val="24"/>
        </w:rPr>
      </w:pPr>
    </w:p>
    <w:p w14:paraId="13ACBC5A" w14:textId="0DE2734A" w:rsidR="00012D08" w:rsidRPr="000A3C5C" w:rsidRDefault="00012D08" w:rsidP="000A3C5C">
      <w:pPr>
        <w:pStyle w:val="ListParagraph"/>
        <w:rPr>
          <w:rFonts w:cs="Arial"/>
          <w:b/>
          <w:szCs w:val="24"/>
        </w:rPr>
      </w:pPr>
      <w:r w:rsidRPr="000A3C5C">
        <w:rPr>
          <w:rFonts w:cs="Arial"/>
          <w:b/>
          <w:szCs w:val="24"/>
        </w:rPr>
        <w:t>Table 12: Addition to Capital programme</w:t>
      </w:r>
    </w:p>
    <w:tbl>
      <w:tblPr>
        <w:tblW w:w="7827" w:type="dxa"/>
        <w:tblInd w:w="607" w:type="dxa"/>
        <w:tblCellMar>
          <w:left w:w="0" w:type="dxa"/>
          <w:right w:w="0" w:type="dxa"/>
        </w:tblCellMar>
        <w:tblLook w:val="04A0" w:firstRow="1" w:lastRow="0" w:firstColumn="1" w:lastColumn="0" w:noHBand="0" w:noVBand="1"/>
      </w:tblPr>
      <w:tblGrid>
        <w:gridCol w:w="2088"/>
        <w:gridCol w:w="1016"/>
        <w:gridCol w:w="1016"/>
        <w:gridCol w:w="866"/>
        <w:gridCol w:w="1016"/>
        <w:gridCol w:w="1016"/>
        <w:gridCol w:w="809"/>
      </w:tblGrid>
      <w:tr w:rsidR="00B271FD" w:rsidRPr="00B271FD" w14:paraId="559A611E" w14:textId="77777777" w:rsidTr="000A3C5C">
        <w:trPr>
          <w:trHeight w:val="307"/>
        </w:trPr>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ED9CCC5" w14:textId="77777777" w:rsidR="00B271FD" w:rsidRPr="000A3C5C" w:rsidRDefault="00B271FD" w:rsidP="00B271FD">
            <w:pPr>
              <w:rPr>
                <w:rFonts w:ascii="Calibri" w:eastAsia="Calibri" w:hAnsi="Calibri" w:cs="Calibri"/>
                <w:sz w:val="22"/>
                <w:szCs w:val="22"/>
                <w:lang w:eastAsia="en-GB"/>
              </w:rPr>
            </w:pPr>
            <w:r w:rsidRPr="000A3C5C">
              <w:rPr>
                <w:rFonts w:ascii="Calibri" w:eastAsia="Calibri" w:hAnsi="Calibri" w:cs="Calibri"/>
                <w:sz w:val="22"/>
                <w:szCs w:val="22"/>
                <w:lang w:eastAsia="en-GB"/>
              </w:rPr>
              <w:t> </w:t>
            </w:r>
          </w:p>
        </w:tc>
        <w:tc>
          <w:tcPr>
            <w:tcW w:w="289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4917377" w14:textId="77777777" w:rsidR="00B271FD" w:rsidRPr="000A3C5C" w:rsidRDefault="00B271FD" w:rsidP="00B271FD">
            <w:pPr>
              <w:jc w:val="center"/>
              <w:rPr>
                <w:rFonts w:ascii="Calibri" w:eastAsia="Calibri" w:hAnsi="Calibri" w:cs="Calibri"/>
                <w:bCs/>
                <w:sz w:val="22"/>
                <w:szCs w:val="22"/>
                <w:lang w:eastAsia="en-GB"/>
              </w:rPr>
            </w:pPr>
            <w:r w:rsidRPr="000A3C5C">
              <w:rPr>
                <w:rFonts w:ascii="Calibri" w:eastAsia="Calibri" w:hAnsi="Calibri" w:cs="Calibri"/>
                <w:bCs/>
                <w:sz w:val="22"/>
                <w:szCs w:val="22"/>
                <w:lang w:eastAsia="en-GB"/>
              </w:rPr>
              <w:t>2017/18</w:t>
            </w:r>
          </w:p>
        </w:tc>
        <w:tc>
          <w:tcPr>
            <w:tcW w:w="284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B07642A" w14:textId="77777777" w:rsidR="00B271FD" w:rsidRPr="000A3C5C" w:rsidRDefault="00B271FD" w:rsidP="00B271FD">
            <w:pPr>
              <w:jc w:val="center"/>
              <w:rPr>
                <w:rFonts w:ascii="Calibri" w:eastAsia="Calibri" w:hAnsi="Calibri" w:cs="Calibri"/>
                <w:bCs/>
                <w:sz w:val="22"/>
                <w:szCs w:val="22"/>
                <w:lang w:eastAsia="en-GB"/>
              </w:rPr>
            </w:pPr>
            <w:r w:rsidRPr="000A3C5C">
              <w:rPr>
                <w:rFonts w:ascii="Calibri" w:eastAsia="Calibri" w:hAnsi="Calibri" w:cs="Calibri"/>
                <w:bCs/>
                <w:sz w:val="22"/>
                <w:szCs w:val="22"/>
                <w:lang w:eastAsia="en-GB"/>
              </w:rPr>
              <w:t>2018/19</w:t>
            </w:r>
          </w:p>
        </w:tc>
      </w:tr>
      <w:tr w:rsidR="00B271FD" w:rsidRPr="00B271FD" w14:paraId="46EFC5D7" w14:textId="77777777" w:rsidTr="000A3C5C">
        <w:trPr>
          <w:trHeight w:val="614"/>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E8CAF24" w14:textId="77777777" w:rsidR="00B271FD" w:rsidRPr="000A3C5C" w:rsidRDefault="00B271FD" w:rsidP="00B271FD">
            <w:pPr>
              <w:jc w:val="center"/>
              <w:rPr>
                <w:rFonts w:ascii="Calibri" w:eastAsia="Calibri" w:hAnsi="Calibri" w:cs="Calibri"/>
                <w:bCs/>
                <w:sz w:val="22"/>
                <w:szCs w:val="22"/>
                <w:lang w:eastAsia="en-GB"/>
              </w:rPr>
            </w:pPr>
            <w:r w:rsidRPr="000A3C5C">
              <w:rPr>
                <w:rFonts w:ascii="Calibri" w:eastAsia="Calibri" w:hAnsi="Calibri" w:cs="Calibri"/>
                <w:bCs/>
                <w:sz w:val="22"/>
                <w:szCs w:val="22"/>
                <w:lang w:eastAsia="en-GB"/>
              </w:rPr>
              <w:t> </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27B97E" w14:textId="77777777" w:rsidR="00B271FD" w:rsidRPr="000A3C5C" w:rsidRDefault="00B271FD" w:rsidP="00B271FD">
            <w:pPr>
              <w:jc w:val="center"/>
              <w:rPr>
                <w:rFonts w:ascii="Calibri" w:eastAsia="Calibri" w:hAnsi="Calibri" w:cs="Calibri"/>
                <w:bCs/>
                <w:sz w:val="22"/>
                <w:szCs w:val="22"/>
                <w:lang w:eastAsia="en-GB"/>
              </w:rPr>
            </w:pPr>
            <w:r w:rsidRPr="000A3C5C">
              <w:rPr>
                <w:rFonts w:ascii="Calibri" w:eastAsia="Calibri" w:hAnsi="Calibri" w:cs="Calibri"/>
                <w:bCs/>
                <w:sz w:val="22"/>
                <w:szCs w:val="22"/>
                <w:lang w:eastAsia="en-GB"/>
              </w:rPr>
              <w:t>Gross Value</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03E035" w14:textId="77777777" w:rsidR="00B271FD" w:rsidRPr="000A3C5C" w:rsidRDefault="00B271FD" w:rsidP="00B271FD">
            <w:pPr>
              <w:jc w:val="center"/>
              <w:rPr>
                <w:rFonts w:ascii="Calibri" w:eastAsia="Calibri" w:hAnsi="Calibri" w:cs="Calibri"/>
                <w:bCs/>
                <w:sz w:val="22"/>
                <w:szCs w:val="22"/>
                <w:lang w:eastAsia="en-GB"/>
              </w:rPr>
            </w:pPr>
            <w:r w:rsidRPr="000A3C5C">
              <w:rPr>
                <w:rFonts w:ascii="Calibri" w:eastAsia="Calibri" w:hAnsi="Calibri" w:cs="Calibri"/>
                <w:bCs/>
                <w:sz w:val="22"/>
                <w:szCs w:val="22"/>
                <w:lang w:eastAsia="en-GB"/>
              </w:rPr>
              <w:t>External Funding</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BD0507" w14:textId="77777777" w:rsidR="00B271FD" w:rsidRPr="000A3C5C" w:rsidRDefault="00B271FD" w:rsidP="00B271FD">
            <w:pPr>
              <w:jc w:val="center"/>
              <w:rPr>
                <w:rFonts w:ascii="Calibri" w:eastAsia="Calibri" w:hAnsi="Calibri" w:cs="Calibri"/>
                <w:bCs/>
                <w:sz w:val="22"/>
                <w:szCs w:val="22"/>
                <w:lang w:eastAsia="en-GB"/>
              </w:rPr>
            </w:pPr>
            <w:r w:rsidRPr="000A3C5C">
              <w:rPr>
                <w:rFonts w:ascii="Calibri" w:eastAsia="Calibri" w:hAnsi="Calibri" w:cs="Calibri"/>
                <w:bCs/>
                <w:sz w:val="22"/>
                <w:szCs w:val="22"/>
                <w:lang w:eastAsia="en-GB"/>
              </w:rPr>
              <w:t>Net Value</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76CB17" w14:textId="77777777" w:rsidR="00B271FD" w:rsidRPr="000A3C5C" w:rsidRDefault="00B271FD" w:rsidP="00B271FD">
            <w:pPr>
              <w:jc w:val="center"/>
              <w:rPr>
                <w:rFonts w:ascii="Calibri" w:eastAsia="Calibri" w:hAnsi="Calibri" w:cs="Calibri"/>
                <w:bCs/>
                <w:sz w:val="22"/>
                <w:szCs w:val="22"/>
                <w:lang w:eastAsia="en-GB"/>
              </w:rPr>
            </w:pPr>
            <w:r w:rsidRPr="000A3C5C">
              <w:rPr>
                <w:rFonts w:ascii="Calibri" w:eastAsia="Calibri" w:hAnsi="Calibri" w:cs="Calibri"/>
                <w:bCs/>
                <w:sz w:val="22"/>
                <w:szCs w:val="22"/>
                <w:lang w:eastAsia="en-GB"/>
              </w:rPr>
              <w:t>Gross Value</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59FA44" w14:textId="77777777" w:rsidR="00B271FD" w:rsidRPr="000A3C5C" w:rsidRDefault="00B271FD" w:rsidP="00B271FD">
            <w:pPr>
              <w:jc w:val="center"/>
              <w:rPr>
                <w:rFonts w:ascii="Calibri" w:eastAsia="Calibri" w:hAnsi="Calibri" w:cs="Calibri"/>
                <w:bCs/>
                <w:sz w:val="22"/>
                <w:szCs w:val="22"/>
                <w:lang w:eastAsia="en-GB"/>
              </w:rPr>
            </w:pPr>
            <w:r w:rsidRPr="000A3C5C">
              <w:rPr>
                <w:rFonts w:ascii="Calibri" w:eastAsia="Calibri" w:hAnsi="Calibri" w:cs="Calibri"/>
                <w:bCs/>
                <w:sz w:val="22"/>
                <w:szCs w:val="22"/>
                <w:lang w:eastAsia="en-GB"/>
              </w:rPr>
              <w:t>External Funding</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4E2AC10" w14:textId="77777777" w:rsidR="00B271FD" w:rsidRPr="000A3C5C" w:rsidRDefault="00B271FD" w:rsidP="00B271FD">
            <w:pPr>
              <w:jc w:val="center"/>
              <w:rPr>
                <w:rFonts w:ascii="Calibri" w:eastAsia="Calibri" w:hAnsi="Calibri" w:cs="Calibri"/>
                <w:bCs/>
                <w:sz w:val="22"/>
                <w:szCs w:val="22"/>
                <w:lang w:eastAsia="en-GB"/>
              </w:rPr>
            </w:pPr>
            <w:r w:rsidRPr="000A3C5C">
              <w:rPr>
                <w:rFonts w:ascii="Calibri" w:eastAsia="Calibri" w:hAnsi="Calibri" w:cs="Calibri"/>
                <w:bCs/>
                <w:sz w:val="22"/>
                <w:szCs w:val="22"/>
                <w:lang w:eastAsia="en-GB"/>
              </w:rPr>
              <w:t>Net Value</w:t>
            </w:r>
          </w:p>
        </w:tc>
      </w:tr>
      <w:tr w:rsidR="00B271FD" w:rsidRPr="00B271FD" w14:paraId="6F3D519F" w14:textId="77777777" w:rsidTr="000A3C5C">
        <w:trPr>
          <w:trHeight w:val="614"/>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785B5C0" w14:textId="77777777" w:rsidR="00B271FD" w:rsidRPr="000A3C5C" w:rsidRDefault="00B271FD" w:rsidP="00B271FD">
            <w:pPr>
              <w:rPr>
                <w:rFonts w:ascii="Calibri" w:eastAsia="Calibri" w:hAnsi="Calibri" w:cs="Calibri"/>
                <w:sz w:val="22"/>
                <w:szCs w:val="22"/>
                <w:lang w:eastAsia="en-GB"/>
              </w:rPr>
            </w:pPr>
            <w:r w:rsidRPr="000A3C5C">
              <w:rPr>
                <w:rFonts w:ascii="Calibri" w:eastAsia="Calibri" w:hAnsi="Calibri" w:cs="Calibri"/>
                <w:sz w:val="22"/>
                <w:szCs w:val="22"/>
                <w:lang w:eastAsia="en-GB"/>
              </w:rPr>
              <w:t>Mobile technology in Community Learning</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9A6F20" w14:textId="77777777" w:rsidR="00B271FD" w:rsidRPr="000A3C5C" w:rsidRDefault="00B271FD" w:rsidP="00B271FD">
            <w:pPr>
              <w:jc w:val="right"/>
              <w:rPr>
                <w:rFonts w:ascii="Calibri" w:eastAsia="Calibri" w:hAnsi="Calibri" w:cs="Calibri"/>
                <w:sz w:val="22"/>
                <w:szCs w:val="22"/>
                <w:lang w:eastAsia="en-GB"/>
              </w:rPr>
            </w:pPr>
            <w:r w:rsidRPr="000A3C5C">
              <w:rPr>
                <w:rFonts w:ascii="Calibri" w:eastAsia="Calibri" w:hAnsi="Calibri" w:cs="Calibri"/>
                <w:sz w:val="22"/>
                <w:szCs w:val="22"/>
                <w:lang w:eastAsia="en-GB"/>
              </w:rPr>
              <w:t>30,000</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A5F983" w14:textId="77777777" w:rsidR="00B271FD" w:rsidRPr="000A3C5C" w:rsidRDefault="00B271FD" w:rsidP="00B271FD">
            <w:pPr>
              <w:jc w:val="right"/>
              <w:rPr>
                <w:rFonts w:ascii="Calibri" w:eastAsia="Calibri" w:hAnsi="Calibri" w:cs="Calibri"/>
                <w:sz w:val="22"/>
                <w:szCs w:val="22"/>
                <w:lang w:eastAsia="en-GB"/>
              </w:rPr>
            </w:pPr>
            <w:r w:rsidRPr="000A3C5C">
              <w:rPr>
                <w:rFonts w:ascii="Calibri" w:eastAsia="Calibri" w:hAnsi="Calibri" w:cs="Calibri"/>
                <w:sz w:val="22"/>
                <w:szCs w:val="22"/>
                <w:lang w:eastAsia="en-GB"/>
              </w:rPr>
              <w:t>-30,000</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61FD17" w14:textId="77777777" w:rsidR="00B271FD" w:rsidRPr="000A3C5C" w:rsidRDefault="00B271FD" w:rsidP="00B271FD">
            <w:pPr>
              <w:jc w:val="right"/>
              <w:rPr>
                <w:rFonts w:ascii="Calibri" w:eastAsia="Calibri" w:hAnsi="Calibri" w:cs="Calibri"/>
                <w:sz w:val="22"/>
                <w:szCs w:val="22"/>
                <w:lang w:eastAsia="en-GB"/>
              </w:rPr>
            </w:pPr>
            <w:r w:rsidRPr="000A3C5C">
              <w:rPr>
                <w:rFonts w:ascii="Calibri" w:eastAsia="Calibri" w:hAnsi="Calibri" w:cs="Calibri"/>
                <w:sz w:val="22"/>
                <w:szCs w:val="22"/>
                <w:lang w:eastAsia="en-GB"/>
              </w:rPr>
              <w:t>0</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3747C6" w14:textId="77777777" w:rsidR="00B271FD" w:rsidRPr="000A3C5C" w:rsidRDefault="00B271FD" w:rsidP="00B271FD">
            <w:pPr>
              <w:jc w:val="right"/>
              <w:rPr>
                <w:rFonts w:ascii="Calibri" w:eastAsia="Calibri" w:hAnsi="Calibri" w:cs="Calibri"/>
                <w:sz w:val="22"/>
                <w:szCs w:val="22"/>
                <w:lang w:eastAsia="en-GB"/>
              </w:rPr>
            </w:pPr>
            <w:r w:rsidRPr="000A3C5C">
              <w:rPr>
                <w:rFonts w:ascii="Calibri" w:eastAsia="Calibri" w:hAnsi="Calibri" w:cs="Calibri"/>
                <w:sz w:val="22"/>
                <w:szCs w:val="22"/>
                <w:lang w:eastAsia="en-GB"/>
              </w:rPr>
              <w:t>20,000</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C970D6" w14:textId="77777777" w:rsidR="00B271FD" w:rsidRPr="000A3C5C" w:rsidRDefault="00B271FD" w:rsidP="00B271FD">
            <w:pPr>
              <w:jc w:val="right"/>
              <w:rPr>
                <w:rFonts w:ascii="Calibri" w:eastAsia="Calibri" w:hAnsi="Calibri" w:cs="Calibri"/>
                <w:sz w:val="22"/>
                <w:szCs w:val="22"/>
                <w:lang w:eastAsia="en-GB"/>
              </w:rPr>
            </w:pPr>
            <w:r w:rsidRPr="000A3C5C">
              <w:rPr>
                <w:rFonts w:ascii="Calibri" w:eastAsia="Calibri" w:hAnsi="Calibri" w:cs="Calibri"/>
                <w:sz w:val="22"/>
                <w:szCs w:val="22"/>
                <w:lang w:eastAsia="en-GB"/>
              </w:rPr>
              <w:t>-20,000</w:t>
            </w:r>
          </w:p>
        </w:tc>
        <w:tc>
          <w:tcPr>
            <w:tcW w:w="8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FAAFF7" w14:textId="77777777" w:rsidR="00B271FD" w:rsidRPr="000A3C5C" w:rsidRDefault="00B271FD" w:rsidP="00B271FD">
            <w:pPr>
              <w:jc w:val="right"/>
              <w:rPr>
                <w:rFonts w:ascii="Calibri" w:eastAsia="Calibri" w:hAnsi="Calibri" w:cs="Calibri"/>
                <w:sz w:val="22"/>
                <w:szCs w:val="22"/>
                <w:lang w:eastAsia="en-GB"/>
              </w:rPr>
            </w:pPr>
            <w:r w:rsidRPr="000A3C5C">
              <w:rPr>
                <w:rFonts w:ascii="Calibri" w:eastAsia="Calibri" w:hAnsi="Calibri" w:cs="Calibri"/>
                <w:sz w:val="22"/>
                <w:szCs w:val="22"/>
                <w:lang w:eastAsia="en-GB"/>
              </w:rPr>
              <w:t>0</w:t>
            </w:r>
          </w:p>
        </w:tc>
      </w:tr>
    </w:tbl>
    <w:p w14:paraId="46B1343C" w14:textId="77777777" w:rsidR="00B271FD" w:rsidRPr="008F3AC2" w:rsidRDefault="00B271FD" w:rsidP="000A3C5C">
      <w:pPr>
        <w:pStyle w:val="ListParagraph"/>
        <w:ind w:left="709"/>
        <w:jc w:val="both"/>
        <w:rPr>
          <w:rFonts w:cs="Arial"/>
          <w:szCs w:val="24"/>
        </w:rPr>
      </w:pPr>
    </w:p>
    <w:p w14:paraId="253E78C5" w14:textId="77777777" w:rsidR="008F3AC2" w:rsidRPr="008F3AC2" w:rsidRDefault="008F3AC2" w:rsidP="000A2CF3">
      <w:pPr>
        <w:pStyle w:val="ListParagraph"/>
        <w:ind w:left="709"/>
        <w:jc w:val="both"/>
        <w:rPr>
          <w:rFonts w:cs="Arial"/>
          <w:szCs w:val="24"/>
        </w:rPr>
      </w:pPr>
    </w:p>
    <w:p w14:paraId="2C77F9F4" w14:textId="666FC2E2" w:rsidR="00C02097" w:rsidRDefault="00C2085E" w:rsidP="00CB1B58">
      <w:pPr>
        <w:pStyle w:val="ListParagraph"/>
        <w:ind w:left="709"/>
        <w:jc w:val="both"/>
        <w:rPr>
          <w:rFonts w:cs="Arial"/>
          <w:b/>
          <w:szCs w:val="24"/>
          <w:u w:val="single"/>
        </w:rPr>
      </w:pPr>
      <w:r w:rsidRPr="00CB1B58">
        <w:rPr>
          <w:rFonts w:cs="Arial"/>
          <w:b/>
          <w:szCs w:val="24"/>
          <w:u w:val="single"/>
        </w:rPr>
        <w:t>Re</w:t>
      </w:r>
      <w:r w:rsidR="001C1074">
        <w:rPr>
          <w:rFonts w:cs="Arial"/>
          <w:b/>
          <w:szCs w:val="24"/>
          <w:u w:val="single"/>
        </w:rPr>
        <w:t xml:space="preserve">-profile </w:t>
      </w:r>
      <w:r w:rsidRPr="00CB1B58">
        <w:rPr>
          <w:rFonts w:cs="Arial"/>
          <w:b/>
          <w:szCs w:val="24"/>
          <w:u w:val="single"/>
        </w:rPr>
        <w:t xml:space="preserve">to the </w:t>
      </w:r>
      <w:r w:rsidR="008449DA">
        <w:rPr>
          <w:rFonts w:cs="Arial"/>
          <w:b/>
          <w:szCs w:val="24"/>
          <w:u w:val="single"/>
        </w:rPr>
        <w:t>C</w:t>
      </w:r>
      <w:r w:rsidRPr="00CB1B58">
        <w:rPr>
          <w:rFonts w:cs="Arial"/>
          <w:b/>
          <w:szCs w:val="24"/>
          <w:u w:val="single"/>
        </w:rPr>
        <w:t xml:space="preserve">apital </w:t>
      </w:r>
      <w:r w:rsidR="008449DA">
        <w:rPr>
          <w:rFonts w:cs="Arial"/>
          <w:b/>
          <w:szCs w:val="24"/>
          <w:u w:val="single"/>
        </w:rPr>
        <w:t>P</w:t>
      </w:r>
      <w:r w:rsidRPr="00CB1B58">
        <w:rPr>
          <w:rFonts w:cs="Arial"/>
          <w:b/>
          <w:szCs w:val="24"/>
          <w:u w:val="single"/>
        </w:rPr>
        <w:t>rogramme</w:t>
      </w:r>
    </w:p>
    <w:p w14:paraId="62885120" w14:textId="77777777" w:rsidR="00C2085E" w:rsidRPr="00CB1B58" w:rsidRDefault="00C2085E" w:rsidP="00CB1B58">
      <w:pPr>
        <w:pStyle w:val="ListParagraph"/>
        <w:ind w:left="709"/>
        <w:jc w:val="both"/>
        <w:rPr>
          <w:rFonts w:cs="Arial"/>
          <w:b/>
          <w:szCs w:val="24"/>
          <w:u w:val="single"/>
        </w:rPr>
      </w:pPr>
    </w:p>
    <w:p w14:paraId="494807F4" w14:textId="77777777" w:rsidR="001C1074" w:rsidRPr="0035406A" w:rsidRDefault="001C1074" w:rsidP="000A2CF3">
      <w:pPr>
        <w:pStyle w:val="ListParagraph"/>
        <w:numPr>
          <w:ilvl w:val="0"/>
          <w:numId w:val="95"/>
        </w:numPr>
        <w:ind w:left="709" w:hanging="709"/>
        <w:jc w:val="both"/>
        <w:rPr>
          <w:rFonts w:cs="Arial"/>
          <w:szCs w:val="24"/>
        </w:rPr>
      </w:pPr>
      <w:r w:rsidRPr="001C1074">
        <w:rPr>
          <w:rFonts w:cs="Arial"/>
          <w:bCs/>
          <w:szCs w:val="24"/>
        </w:rPr>
        <w:t>A total CIL funding of £4.8m is allocated to Highway Programme over 2 years in the capital programme. The projects have been included in the programme of work and are well underway. It is proposed that the £2.4m originally set for 18/19 is re-profiled to 17/18 to allow additional highway infrastructure improvement works to be completed in this financial year</w:t>
      </w:r>
      <w:r>
        <w:rPr>
          <w:rFonts w:cs="Arial"/>
          <w:bCs/>
          <w:szCs w:val="24"/>
        </w:rPr>
        <w:t>.</w:t>
      </w:r>
    </w:p>
    <w:p w14:paraId="0AFC78EA" w14:textId="77777777" w:rsidR="00A805B2" w:rsidRPr="00EC704C" w:rsidRDefault="00A805B2" w:rsidP="000A2CF3">
      <w:pPr>
        <w:pStyle w:val="ListParagraph"/>
        <w:ind w:left="709"/>
        <w:jc w:val="both"/>
        <w:rPr>
          <w:rFonts w:cs="Arial"/>
          <w:szCs w:val="24"/>
        </w:rPr>
      </w:pPr>
    </w:p>
    <w:p w14:paraId="2DA781F5" w14:textId="52D9EB97" w:rsidR="006A0DA8" w:rsidRPr="000A2CF3" w:rsidRDefault="00EF5DBE" w:rsidP="000A2CF3">
      <w:pPr>
        <w:ind w:left="-142"/>
        <w:rPr>
          <w:b/>
          <w:sz w:val="28"/>
          <w:szCs w:val="28"/>
        </w:rPr>
      </w:pPr>
      <w:r w:rsidRPr="000A2CF3">
        <w:rPr>
          <w:rFonts w:cs="Arial"/>
          <w:b/>
          <w:bCs/>
          <w:kern w:val="32"/>
          <w:sz w:val="28"/>
          <w:szCs w:val="28"/>
        </w:rPr>
        <w:t>4</w:t>
      </w:r>
      <w:r>
        <w:rPr>
          <w:b/>
          <w:sz w:val="28"/>
          <w:szCs w:val="28"/>
        </w:rPr>
        <w:t>.</w:t>
      </w:r>
      <w:r w:rsidR="00A805B2">
        <w:rPr>
          <w:b/>
          <w:sz w:val="28"/>
          <w:szCs w:val="28"/>
        </w:rPr>
        <w:t xml:space="preserve">  </w:t>
      </w:r>
      <w:r w:rsidR="006A0DA8" w:rsidRPr="000A2CF3">
        <w:rPr>
          <w:b/>
          <w:sz w:val="28"/>
          <w:szCs w:val="28"/>
          <w:u w:val="single"/>
        </w:rPr>
        <w:t>C</w:t>
      </w:r>
      <w:r w:rsidR="00C26AEB" w:rsidRPr="000A2CF3">
        <w:rPr>
          <w:b/>
          <w:sz w:val="28"/>
          <w:szCs w:val="28"/>
          <w:u w:val="single"/>
        </w:rPr>
        <w:t>ONCILIUM BUSINESS SERVICES</w:t>
      </w:r>
    </w:p>
    <w:p w14:paraId="5A2AD789" w14:textId="77777777" w:rsidR="006A0DA8" w:rsidRPr="006A0DA8" w:rsidRDefault="006A0DA8" w:rsidP="006A0DA8">
      <w:pPr>
        <w:pStyle w:val="ListParagraph"/>
        <w:ind w:left="788"/>
        <w:jc w:val="both"/>
        <w:rPr>
          <w:rFonts w:cs="Arial"/>
          <w:b/>
          <w:szCs w:val="24"/>
        </w:rPr>
      </w:pPr>
    </w:p>
    <w:p w14:paraId="5805BC8E" w14:textId="0D2FD308" w:rsidR="005D0C5B" w:rsidRDefault="00CD735C" w:rsidP="00387615">
      <w:pPr>
        <w:ind w:left="720" w:hanging="720"/>
        <w:jc w:val="both"/>
        <w:rPr>
          <w:rFonts w:cs="Arial"/>
          <w:szCs w:val="24"/>
        </w:rPr>
      </w:pPr>
      <w:r>
        <w:t>4.1</w:t>
      </w:r>
      <w:r w:rsidR="00A03E1E">
        <w:tab/>
      </w:r>
      <w:r w:rsidR="006A0DA8" w:rsidRPr="005D0C5B">
        <w:t xml:space="preserve">The Quarter </w:t>
      </w:r>
      <w:r w:rsidR="001C1074">
        <w:t>3</w:t>
      </w:r>
      <w:r w:rsidR="005D0C5B" w:rsidRPr="005D0C5B">
        <w:t xml:space="preserve"> forecast currently shows t</w:t>
      </w:r>
      <w:r w:rsidR="00C26AEB">
        <w:t>hat Concilium Business Services</w:t>
      </w:r>
      <w:r w:rsidR="005D0C5B" w:rsidRPr="005D0C5B">
        <w:t xml:space="preserve"> </w:t>
      </w:r>
      <w:r w:rsidR="005D0C5B">
        <w:t>is</w:t>
      </w:r>
      <w:r w:rsidR="005D0C5B" w:rsidRPr="005D0C5B">
        <w:t xml:space="preserve"> </w:t>
      </w:r>
      <w:r w:rsidR="00184D1F">
        <w:t>close</w:t>
      </w:r>
      <w:r w:rsidR="005D0C5B" w:rsidRPr="005D0C5B">
        <w:t xml:space="preserve"> to </w:t>
      </w:r>
      <w:r w:rsidR="00184D1F">
        <w:t xml:space="preserve">target in achieving the </w:t>
      </w:r>
      <w:r w:rsidR="005D0C5B" w:rsidRPr="005D0C5B">
        <w:t>business plan</w:t>
      </w:r>
      <w:r w:rsidR="00387615">
        <w:t>.</w:t>
      </w:r>
      <w:r w:rsidR="005D0C5B" w:rsidRPr="00CB1B58">
        <w:rPr>
          <w:highlight w:val="yellow"/>
        </w:rPr>
        <w:t xml:space="preserve"> </w:t>
      </w:r>
    </w:p>
    <w:p w14:paraId="248FAD0A" w14:textId="77777777" w:rsidR="004C6220" w:rsidRDefault="004C6220" w:rsidP="005D0C5B">
      <w:pPr>
        <w:pStyle w:val="ListParagraph"/>
        <w:ind w:left="788"/>
        <w:jc w:val="both"/>
        <w:rPr>
          <w:rFonts w:cs="Arial"/>
          <w:szCs w:val="24"/>
        </w:rPr>
      </w:pPr>
    </w:p>
    <w:p w14:paraId="232ED9EC" w14:textId="77777777" w:rsidR="004C6220" w:rsidRPr="005D0C5B" w:rsidRDefault="004C6220" w:rsidP="005D0C5B">
      <w:pPr>
        <w:pStyle w:val="ListParagraph"/>
        <w:ind w:left="788"/>
        <w:jc w:val="both"/>
        <w:rPr>
          <w:rFonts w:cs="Arial"/>
          <w:szCs w:val="24"/>
        </w:rPr>
      </w:pPr>
    </w:p>
    <w:bookmarkEnd w:id="0"/>
    <w:p w14:paraId="4FA4C47F" w14:textId="1A5DAA08" w:rsidR="001374CB" w:rsidRDefault="005E0EC3" w:rsidP="000A2CF3">
      <w:pPr>
        <w:pStyle w:val="ListParagraph"/>
        <w:numPr>
          <w:ilvl w:val="0"/>
          <w:numId w:val="168"/>
        </w:numPr>
        <w:ind w:left="284" w:hanging="426"/>
        <w:jc w:val="both"/>
        <w:rPr>
          <w:rFonts w:cs="Arial"/>
          <w:b/>
          <w:sz w:val="28"/>
          <w:szCs w:val="28"/>
        </w:rPr>
      </w:pPr>
      <w:r w:rsidRPr="00C50502">
        <w:rPr>
          <w:rFonts w:cs="Arial"/>
          <w:b/>
          <w:sz w:val="28"/>
          <w:szCs w:val="28"/>
        </w:rPr>
        <w:t>Legal Implication</w:t>
      </w:r>
      <w:r w:rsidR="009102CE" w:rsidRPr="00A77BB9">
        <w:rPr>
          <w:rFonts w:cs="Arial"/>
          <w:b/>
          <w:sz w:val="28"/>
          <w:szCs w:val="28"/>
        </w:rPr>
        <w:t>s</w:t>
      </w:r>
      <w:r w:rsidR="00685647" w:rsidRPr="000A2CF3">
        <w:rPr>
          <w:rFonts w:cs="Arial"/>
          <w:b/>
          <w:sz w:val="28"/>
          <w:szCs w:val="28"/>
        </w:rPr>
        <w:tab/>
      </w:r>
    </w:p>
    <w:p w14:paraId="649F6EFF" w14:textId="77777777" w:rsidR="006551C3" w:rsidRPr="000A2CF3" w:rsidRDefault="006551C3" w:rsidP="000A2CF3">
      <w:pPr>
        <w:pStyle w:val="ListParagraph"/>
        <w:ind w:left="709"/>
        <w:jc w:val="both"/>
        <w:rPr>
          <w:rFonts w:cs="Arial"/>
          <w:b/>
          <w:sz w:val="28"/>
          <w:szCs w:val="28"/>
        </w:rPr>
      </w:pPr>
    </w:p>
    <w:p w14:paraId="70C5BE44" w14:textId="1D3B8718" w:rsidR="005E0EC3" w:rsidRDefault="001374CB" w:rsidP="001374CB">
      <w:pPr>
        <w:pStyle w:val="ListParagraph"/>
        <w:autoSpaceDE w:val="0"/>
        <w:autoSpaceDN w:val="0"/>
        <w:adjustRightInd w:val="0"/>
        <w:spacing w:after="240"/>
        <w:ind w:left="709" w:hanging="709"/>
        <w:jc w:val="both"/>
      </w:pPr>
      <w:r>
        <w:t>5.1</w:t>
      </w:r>
      <w:r>
        <w:tab/>
      </w:r>
      <w:r w:rsidR="005E0EC3" w:rsidRPr="005E0EC3">
        <w:t xml:space="preserve">Section 151 of the Local Government Act 1972 states that without prejudice to section 111, every local authority shall make arrangements </w:t>
      </w:r>
      <w:r w:rsidR="00720057">
        <w:t>f</w:t>
      </w:r>
      <w:r w:rsidR="005E0EC3" w:rsidRPr="005E0EC3">
        <w:t>or the proper administration of their financial affairs and shall secure that one of their officers has responsibility for the administration of those affairs”. Section 28 of the Local Government Act 2003 imposes a</w:t>
      </w:r>
      <w:r w:rsidR="0020754A">
        <w:tab/>
      </w:r>
      <w:r w:rsidR="005E0EC3" w:rsidRPr="005E0EC3">
        <w:t>statutory duty on a billing or major precepting authority to monitor,</w:t>
      </w:r>
      <w:r w:rsidR="0020754A">
        <w:tab/>
      </w:r>
      <w:r w:rsidR="005E0EC3" w:rsidRPr="005E0EC3">
        <w:t>during the financial year, its income and expenditure against budget</w:t>
      </w:r>
      <w:r w:rsidR="00720057">
        <w:t xml:space="preserve"> </w:t>
      </w:r>
      <w:r w:rsidR="005E0EC3" w:rsidRPr="005E0EC3">
        <w:t>calculations</w:t>
      </w:r>
      <w:r w:rsidR="005E0EC3">
        <w:t>.</w:t>
      </w:r>
    </w:p>
    <w:p w14:paraId="12AEE338" w14:textId="355ADE54" w:rsidR="00685647" w:rsidRDefault="00685647" w:rsidP="001374CB">
      <w:pPr>
        <w:pStyle w:val="ListParagraph"/>
        <w:numPr>
          <w:ilvl w:val="0"/>
          <w:numId w:val="128"/>
        </w:numPr>
        <w:autoSpaceDE w:val="0"/>
        <w:autoSpaceDN w:val="0"/>
        <w:adjustRightInd w:val="0"/>
        <w:spacing w:after="240"/>
        <w:ind w:hanging="720"/>
        <w:jc w:val="both"/>
      </w:pPr>
      <w:r w:rsidRPr="00685647">
        <w:t xml:space="preserve">Under the Council’s Financial Regulation B48 Additions in year to the Capital Programme up to £500,000 additional capital spending can be approved by Cabinet on specific projects where the expenditure is wholly covered by additional external sources; and the expenditure is in accordance with at least one of the priorities listed in the capital </w:t>
      </w:r>
      <w:r w:rsidRPr="00685647">
        <w:lastRenderedPageBreak/>
        <w:t>programme; and there are no significant full year revenue budget effects. The additional capital spending agreed by Cabinet in one financial year cannot exceed £2.5million</w:t>
      </w:r>
      <w:r>
        <w:t>.</w:t>
      </w:r>
    </w:p>
    <w:p w14:paraId="150BF999" w14:textId="3F9D2A90" w:rsidR="009F2A51" w:rsidRDefault="009F2A51" w:rsidP="001374CB">
      <w:pPr>
        <w:pStyle w:val="ListParagraph"/>
        <w:numPr>
          <w:ilvl w:val="0"/>
          <w:numId w:val="128"/>
        </w:numPr>
        <w:autoSpaceDE w:val="0"/>
        <w:autoSpaceDN w:val="0"/>
        <w:adjustRightInd w:val="0"/>
        <w:spacing w:after="240"/>
        <w:ind w:hanging="720"/>
        <w:jc w:val="both"/>
      </w:pPr>
      <w:r>
        <w:t xml:space="preserve">Debt write offs are covered under the Council’s Financial Regulations D22 debts of more than </w:t>
      </w:r>
      <w:r w:rsidR="006D48DB">
        <w:t>£</w:t>
      </w:r>
      <w:r w:rsidR="00B05EBD">
        <w:t>0.0</w:t>
      </w:r>
      <w:r>
        <w:t>25</w:t>
      </w:r>
      <w:r w:rsidR="00B05EBD">
        <w:t>m</w:t>
      </w:r>
      <w:r>
        <w:t xml:space="preserve"> need Cabinet approval.</w:t>
      </w:r>
    </w:p>
    <w:p w14:paraId="7B3429F1" w14:textId="23540EB1" w:rsidR="004C134F" w:rsidRDefault="004C134F" w:rsidP="00D55D81">
      <w:pPr>
        <w:pStyle w:val="ListParagraph"/>
        <w:spacing w:after="120"/>
        <w:ind w:left="709"/>
        <w:jc w:val="both"/>
      </w:pPr>
    </w:p>
    <w:p w14:paraId="4720DE6C" w14:textId="33F5F41F" w:rsidR="005E0EC3" w:rsidRDefault="005E0EC3" w:rsidP="000A2CF3">
      <w:pPr>
        <w:pStyle w:val="ListParagraph"/>
        <w:numPr>
          <w:ilvl w:val="0"/>
          <w:numId w:val="168"/>
        </w:numPr>
        <w:ind w:left="284" w:hanging="426"/>
        <w:jc w:val="both"/>
        <w:rPr>
          <w:rFonts w:cs="Arial"/>
          <w:b/>
          <w:sz w:val="28"/>
          <w:szCs w:val="28"/>
        </w:rPr>
      </w:pPr>
      <w:r w:rsidRPr="00A77BB9">
        <w:rPr>
          <w:rFonts w:cs="Arial"/>
          <w:b/>
          <w:sz w:val="28"/>
          <w:szCs w:val="28"/>
        </w:rPr>
        <w:t>Equalities</w:t>
      </w:r>
    </w:p>
    <w:p w14:paraId="6B578E3E" w14:textId="77777777" w:rsidR="006551C3" w:rsidRPr="00C50502" w:rsidRDefault="006551C3" w:rsidP="000A2CF3">
      <w:pPr>
        <w:pStyle w:val="ListParagraph"/>
        <w:ind w:left="709"/>
        <w:jc w:val="both"/>
        <w:rPr>
          <w:rFonts w:cs="Arial"/>
          <w:b/>
          <w:sz w:val="28"/>
          <w:szCs w:val="28"/>
        </w:rPr>
      </w:pPr>
    </w:p>
    <w:p w14:paraId="5301B810" w14:textId="149920CC" w:rsidR="00741AEB" w:rsidRPr="00374CD9" w:rsidRDefault="00741AEB" w:rsidP="003D61E1">
      <w:pPr>
        <w:pStyle w:val="ListParagraph"/>
        <w:numPr>
          <w:ilvl w:val="1"/>
          <w:numId w:val="6"/>
        </w:numPr>
        <w:spacing w:after="240"/>
        <w:ind w:left="709" w:hanging="709"/>
        <w:jc w:val="both"/>
      </w:pPr>
      <w:r w:rsidRPr="00374CD9">
        <w:t xml:space="preserve">Decision makers should have due regard to the public sector equality </w:t>
      </w:r>
      <w:r w:rsidR="0020754A">
        <w:tab/>
      </w:r>
      <w:r w:rsidRPr="00374CD9">
        <w:t xml:space="preserve">duty in making their decisions. The equalities duties are continuing </w:t>
      </w:r>
      <w:r w:rsidR="0020754A">
        <w:tab/>
      </w:r>
      <w:r w:rsidRPr="00374CD9">
        <w:t xml:space="preserve">duties they are not duties to secure a particular outcome. The </w:t>
      </w:r>
      <w:r w:rsidR="0020754A">
        <w:tab/>
      </w:r>
      <w:r w:rsidRPr="00374CD9">
        <w:t xml:space="preserve">equalities impact will be revisited on each of the proposals as they are developed. Consideration of the duties should precede the decision. It </w:t>
      </w:r>
      <w:r w:rsidR="0020754A">
        <w:tab/>
      </w:r>
      <w:r w:rsidRPr="00374CD9">
        <w:t xml:space="preserve">is important that Cabinet has regard to the statutory grounds in the light </w:t>
      </w:r>
      <w:r w:rsidR="0020754A">
        <w:tab/>
      </w:r>
      <w:r w:rsidRPr="00374CD9">
        <w:t xml:space="preserve">of all available material such as consultation responses. The statutory </w:t>
      </w:r>
      <w:r w:rsidR="0020754A">
        <w:tab/>
      </w:r>
      <w:r w:rsidRPr="00374CD9">
        <w:t xml:space="preserve">grounds of the public sector equality duty are found at section 149 of </w:t>
      </w:r>
      <w:r w:rsidR="00720057">
        <w:t>t</w:t>
      </w:r>
      <w:r w:rsidRPr="00374CD9">
        <w:t>he Equality Act 2010 and are as follows:</w:t>
      </w:r>
    </w:p>
    <w:p w14:paraId="03FF2E0F" w14:textId="261293CF" w:rsidR="00741AEB" w:rsidRPr="0020754A" w:rsidRDefault="0020754A" w:rsidP="003D61E1">
      <w:pPr>
        <w:pStyle w:val="ListParagraph"/>
        <w:numPr>
          <w:ilvl w:val="1"/>
          <w:numId w:val="6"/>
        </w:numPr>
        <w:spacing w:after="240"/>
        <w:ind w:left="709" w:hanging="709"/>
        <w:jc w:val="both"/>
        <w:rPr>
          <w:szCs w:val="24"/>
        </w:rPr>
      </w:pPr>
      <w:r>
        <w:t xml:space="preserve"> </w:t>
      </w:r>
      <w:r w:rsidR="00741AEB" w:rsidRPr="00374CD9">
        <w:t>A public authority must, in the exercise of its functions, have due regard to the</w:t>
      </w:r>
      <w:r w:rsidR="00741AEB" w:rsidRPr="0020754A">
        <w:rPr>
          <w:szCs w:val="24"/>
        </w:rPr>
        <w:t xml:space="preserve"> need to:</w:t>
      </w:r>
    </w:p>
    <w:p w14:paraId="6F96ACAB" w14:textId="77777777" w:rsidR="00741AEB" w:rsidRPr="008B25B2" w:rsidRDefault="00751215" w:rsidP="003D61E1">
      <w:pPr>
        <w:pStyle w:val="ListParagraph"/>
        <w:numPr>
          <w:ilvl w:val="0"/>
          <w:numId w:val="9"/>
        </w:numPr>
        <w:spacing w:after="120"/>
        <w:jc w:val="both"/>
        <w:rPr>
          <w:szCs w:val="24"/>
        </w:rPr>
      </w:pPr>
      <w:r>
        <w:rPr>
          <w:szCs w:val="24"/>
        </w:rPr>
        <w:t>E</w:t>
      </w:r>
      <w:r w:rsidR="00741AEB" w:rsidRPr="006B1DE1">
        <w:rPr>
          <w:szCs w:val="24"/>
        </w:rPr>
        <w:t xml:space="preserve">liminate discrimination, harassment, victimisation and any other </w:t>
      </w:r>
      <w:r w:rsidR="00741AEB" w:rsidRPr="00440EBF">
        <w:rPr>
          <w:szCs w:val="24"/>
        </w:rPr>
        <w:t>conduct that is prohibited by or under this Act;</w:t>
      </w:r>
    </w:p>
    <w:p w14:paraId="026B174F" w14:textId="77777777" w:rsidR="00741AEB" w:rsidRPr="008D4ADA" w:rsidRDefault="00751215" w:rsidP="003D61E1">
      <w:pPr>
        <w:pStyle w:val="ListParagraph"/>
        <w:numPr>
          <w:ilvl w:val="0"/>
          <w:numId w:val="9"/>
        </w:numPr>
        <w:spacing w:after="120"/>
        <w:jc w:val="both"/>
        <w:rPr>
          <w:szCs w:val="24"/>
        </w:rPr>
      </w:pPr>
      <w:r w:rsidRPr="003728EE">
        <w:rPr>
          <w:szCs w:val="24"/>
        </w:rPr>
        <w:t>A</w:t>
      </w:r>
      <w:r w:rsidR="00741AEB" w:rsidRPr="008D4ADA">
        <w:rPr>
          <w:szCs w:val="24"/>
        </w:rPr>
        <w:t>dvance equality of opportunity between persons who share a relevant protected characteristic and persons who do not share it;</w:t>
      </w:r>
    </w:p>
    <w:p w14:paraId="6169D67D" w14:textId="77777777" w:rsidR="00741AEB" w:rsidRPr="009E22B0" w:rsidRDefault="0039329E" w:rsidP="003D61E1">
      <w:pPr>
        <w:pStyle w:val="ListParagraph"/>
        <w:numPr>
          <w:ilvl w:val="0"/>
          <w:numId w:val="9"/>
        </w:numPr>
        <w:spacing w:after="120"/>
        <w:jc w:val="both"/>
        <w:rPr>
          <w:szCs w:val="24"/>
        </w:rPr>
      </w:pPr>
      <w:r w:rsidRPr="009E22B0">
        <w:rPr>
          <w:szCs w:val="24"/>
        </w:rPr>
        <w:t>F</w:t>
      </w:r>
      <w:r w:rsidR="00741AEB" w:rsidRPr="009E22B0">
        <w:rPr>
          <w:szCs w:val="24"/>
        </w:rPr>
        <w:t>oster good relations between persons who share a relevant protected characteristic and persons who do not share it.</w:t>
      </w:r>
    </w:p>
    <w:p w14:paraId="34565A5F" w14:textId="77777777" w:rsidR="00741AEB" w:rsidRPr="00440EBF" w:rsidRDefault="0020754A" w:rsidP="003D61E1">
      <w:pPr>
        <w:pStyle w:val="ListParagraph"/>
        <w:numPr>
          <w:ilvl w:val="1"/>
          <w:numId w:val="6"/>
        </w:numPr>
        <w:spacing w:after="120"/>
        <w:jc w:val="both"/>
        <w:rPr>
          <w:szCs w:val="24"/>
        </w:rPr>
      </w:pPr>
      <w:r>
        <w:t xml:space="preserve">     </w:t>
      </w:r>
      <w:r w:rsidR="00741AEB" w:rsidRPr="00A969AA">
        <w:t>Having</w:t>
      </w:r>
      <w:r w:rsidR="00741AEB" w:rsidRPr="0039329E">
        <w:rPr>
          <w:szCs w:val="24"/>
        </w:rPr>
        <w:t xml:space="preserve"> due regard to the need to advance equality of opportunity </w:t>
      </w:r>
      <w:r>
        <w:rPr>
          <w:szCs w:val="24"/>
        </w:rPr>
        <w:tab/>
      </w:r>
      <w:r w:rsidR="00741AEB" w:rsidRPr="0039329E">
        <w:rPr>
          <w:szCs w:val="24"/>
        </w:rPr>
        <w:t xml:space="preserve">between persons who share a relevant protected characteristic and </w:t>
      </w:r>
      <w:r>
        <w:rPr>
          <w:szCs w:val="24"/>
        </w:rPr>
        <w:tab/>
      </w:r>
      <w:r w:rsidR="00741AEB" w:rsidRPr="0039329E">
        <w:rPr>
          <w:szCs w:val="24"/>
        </w:rPr>
        <w:t xml:space="preserve">persons who do not share it involves having due regard, in particular, </w:t>
      </w:r>
      <w:r>
        <w:rPr>
          <w:szCs w:val="24"/>
        </w:rPr>
        <w:tab/>
      </w:r>
      <w:r w:rsidR="00741AEB" w:rsidRPr="0039329E">
        <w:rPr>
          <w:szCs w:val="24"/>
        </w:rPr>
        <w:t>to the need to:</w:t>
      </w:r>
    </w:p>
    <w:p w14:paraId="6FD5BAA3" w14:textId="77777777" w:rsidR="00741AEB" w:rsidRPr="008D4ADA" w:rsidRDefault="00751215" w:rsidP="000A2CF3">
      <w:pPr>
        <w:pStyle w:val="ListParagraph"/>
        <w:numPr>
          <w:ilvl w:val="0"/>
          <w:numId w:val="131"/>
        </w:numPr>
        <w:spacing w:after="120"/>
        <w:ind w:hanging="884"/>
        <w:jc w:val="both"/>
        <w:rPr>
          <w:szCs w:val="24"/>
        </w:rPr>
      </w:pPr>
      <w:r w:rsidRPr="008D4ADA">
        <w:rPr>
          <w:szCs w:val="24"/>
        </w:rPr>
        <w:t>R</w:t>
      </w:r>
      <w:r w:rsidR="00741AEB" w:rsidRPr="008D4ADA">
        <w:rPr>
          <w:szCs w:val="24"/>
        </w:rPr>
        <w:t>emove or minimise disadvantages suffered by persons who share a relevant protected characteristic that are connected to that characteristic;</w:t>
      </w:r>
    </w:p>
    <w:p w14:paraId="7565EE08" w14:textId="77777777" w:rsidR="00741AEB" w:rsidRPr="006B1DE1" w:rsidRDefault="00741AEB" w:rsidP="00720057">
      <w:pPr>
        <w:spacing w:after="120"/>
        <w:ind w:left="720"/>
        <w:jc w:val="both"/>
        <w:rPr>
          <w:szCs w:val="24"/>
        </w:rPr>
      </w:pPr>
      <w:r w:rsidRPr="006B1DE1">
        <w:rPr>
          <w:szCs w:val="24"/>
        </w:rPr>
        <w:t xml:space="preserve">(b) </w:t>
      </w:r>
      <w:r w:rsidR="00751215">
        <w:rPr>
          <w:szCs w:val="24"/>
        </w:rPr>
        <w:t>T</w:t>
      </w:r>
      <w:r w:rsidRPr="006B1DE1">
        <w:rPr>
          <w:szCs w:val="24"/>
        </w:rPr>
        <w:t>ake steps to meet the needs of persons who share a relevant</w:t>
      </w:r>
      <w:r w:rsidR="00B16263">
        <w:rPr>
          <w:szCs w:val="24"/>
        </w:rPr>
        <w:t xml:space="preserve">         </w:t>
      </w:r>
      <w:r w:rsidRPr="006B1DE1">
        <w:rPr>
          <w:szCs w:val="24"/>
        </w:rPr>
        <w:t>protected characteristic that are different from the needs of persons who do not share it;</w:t>
      </w:r>
    </w:p>
    <w:p w14:paraId="62699B9F" w14:textId="77777777" w:rsidR="00741AEB" w:rsidRDefault="00741AEB">
      <w:pPr>
        <w:spacing w:after="240"/>
        <w:ind w:left="720"/>
        <w:jc w:val="both"/>
        <w:rPr>
          <w:szCs w:val="24"/>
        </w:rPr>
      </w:pPr>
      <w:r w:rsidRPr="006B1DE1">
        <w:rPr>
          <w:szCs w:val="24"/>
        </w:rPr>
        <w:t>(c)</w:t>
      </w:r>
      <w:r w:rsidR="0039329E">
        <w:rPr>
          <w:szCs w:val="24"/>
        </w:rPr>
        <w:t xml:space="preserve"> </w:t>
      </w:r>
      <w:r w:rsidRPr="006B1DE1">
        <w:rPr>
          <w:szCs w:val="24"/>
        </w:rPr>
        <w:t xml:space="preserve"> </w:t>
      </w:r>
      <w:r w:rsidR="00751215">
        <w:rPr>
          <w:szCs w:val="24"/>
        </w:rPr>
        <w:t>E</w:t>
      </w:r>
      <w:r w:rsidRPr="006B1DE1">
        <w:rPr>
          <w:szCs w:val="24"/>
        </w:rPr>
        <w:t>ncourage persons who share a relevant protected characteristic to participate in public life or in any other activity in which participation by such persons is disproportionately low.</w:t>
      </w:r>
    </w:p>
    <w:p w14:paraId="08840033" w14:textId="684EEF1E" w:rsidR="00741AEB" w:rsidRPr="008B25B2" w:rsidRDefault="00685647" w:rsidP="00D73C5B">
      <w:pPr>
        <w:spacing w:after="240"/>
        <w:ind w:left="709" w:hanging="709"/>
        <w:jc w:val="both"/>
        <w:rPr>
          <w:szCs w:val="24"/>
        </w:rPr>
      </w:pPr>
      <w:r>
        <w:t>6</w:t>
      </w:r>
      <w:r w:rsidR="0020754A">
        <w:t xml:space="preserve">.4     </w:t>
      </w:r>
      <w:r w:rsidR="00741AEB" w:rsidRPr="00A969AA">
        <w:t>The</w:t>
      </w:r>
      <w:r w:rsidR="00741AEB" w:rsidRPr="0039329E">
        <w:rPr>
          <w:szCs w:val="24"/>
        </w:rPr>
        <w:t xml:space="preserve"> steps involved in mee</w:t>
      </w:r>
      <w:r w:rsidR="00741AEB" w:rsidRPr="00440EBF">
        <w:rPr>
          <w:szCs w:val="24"/>
        </w:rPr>
        <w:t>ting the needs of disabled persons that are</w:t>
      </w:r>
      <w:r w:rsidR="0020754A">
        <w:rPr>
          <w:szCs w:val="24"/>
        </w:rPr>
        <w:t xml:space="preserve"> </w:t>
      </w:r>
      <w:r w:rsidR="0020754A">
        <w:rPr>
          <w:szCs w:val="24"/>
        </w:rPr>
        <w:tab/>
      </w:r>
      <w:r w:rsidR="00741AEB" w:rsidRPr="00440EBF">
        <w:rPr>
          <w:szCs w:val="24"/>
        </w:rPr>
        <w:t>different from the needs of persons who are not disabled include, in</w:t>
      </w:r>
      <w:r w:rsidR="0020754A">
        <w:rPr>
          <w:szCs w:val="24"/>
        </w:rPr>
        <w:t xml:space="preserve"> </w:t>
      </w:r>
      <w:r w:rsidR="0020754A">
        <w:rPr>
          <w:szCs w:val="24"/>
        </w:rPr>
        <w:tab/>
      </w:r>
      <w:r w:rsidR="00741AEB" w:rsidRPr="00440EBF">
        <w:rPr>
          <w:szCs w:val="24"/>
        </w:rPr>
        <w:t>particular, steps to take account of disabled persons’ disabilities.</w:t>
      </w:r>
    </w:p>
    <w:p w14:paraId="4B086B69" w14:textId="7F064444" w:rsidR="00B0165A" w:rsidRPr="0039329E" w:rsidRDefault="0020754A" w:rsidP="003D61E1">
      <w:pPr>
        <w:pStyle w:val="ListParagraph"/>
        <w:numPr>
          <w:ilvl w:val="1"/>
          <w:numId w:val="7"/>
        </w:numPr>
        <w:tabs>
          <w:tab w:val="left" w:pos="709"/>
        </w:tabs>
        <w:spacing w:after="240"/>
        <w:ind w:left="567" w:hanging="567"/>
        <w:jc w:val="both"/>
        <w:rPr>
          <w:szCs w:val="24"/>
        </w:rPr>
      </w:pPr>
      <w:r>
        <w:t xml:space="preserve">  </w:t>
      </w:r>
      <w:r w:rsidR="00741AEB" w:rsidRPr="00A969AA">
        <w:t>Having</w:t>
      </w:r>
      <w:r w:rsidR="00741AEB" w:rsidRPr="0039329E">
        <w:rPr>
          <w:szCs w:val="24"/>
        </w:rPr>
        <w:t xml:space="preserve"> </w:t>
      </w:r>
      <w:r w:rsidR="00741AEB" w:rsidRPr="0031658B">
        <w:t>due</w:t>
      </w:r>
      <w:r w:rsidR="00741AEB" w:rsidRPr="0039329E">
        <w:rPr>
          <w:szCs w:val="24"/>
        </w:rPr>
        <w:t xml:space="preserve"> regard to the need to foster good relations between </w:t>
      </w:r>
      <w:r>
        <w:rPr>
          <w:szCs w:val="24"/>
        </w:rPr>
        <w:tab/>
      </w:r>
      <w:r w:rsidR="00741AEB" w:rsidRPr="0039329E">
        <w:rPr>
          <w:szCs w:val="24"/>
        </w:rPr>
        <w:t xml:space="preserve">persons who share a relevant protected characteristic and persons </w:t>
      </w:r>
      <w:r>
        <w:rPr>
          <w:szCs w:val="24"/>
        </w:rPr>
        <w:lastRenderedPageBreak/>
        <w:tab/>
      </w:r>
      <w:r w:rsidR="00741AEB" w:rsidRPr="0039329E">
        <w:rPr>
          <w:szCs w:val="24"/>
        </w:rPr>
        <w:t xml:space="preserve">who do not share it involves having due regard, in particular, to the </w:t>
      </w:r>
      <w:r>
        <w:rPr>
          <w:szCs w:val="24"/>
        </w:rPr>
        <w:tab/>
      </w:r>
      <w:r w:rsidR="00741AEB" w:rsidRPr="0039329E">
        <w:rPr>
          <w:szCs w:val="24"/>
        </w:rPr>
        <w:t>need to:</w:t>
      </w:r>
    </w:p>
    <w:p w14:paraId="1D0D6E8B" w14:textId="77777777" w:rsidR="00741AEB" w:rsidRPr="008B25B2" w:rsidRDefault="00B0165A" w:rsidP="009E22B0">
      <w:pPr>
        <w:spacing w:after="240"/>
        <w:rPr>
          <w:szCs w:val="24"/>
        </w:rPr>
      </w:pPr>
      <w:r>
        <w:rPr>
          <w:szCs w:val="24"/>
        </w:rPr>
        <w:t xml:space="preserve">           </w:t>
      </w:r>
      <w:r w:rsidRPr="0039329E">
        <w:rPr>
          <w:szCs w:val="24"/>
        </w:rPr>
        <w:t xml:space="preserve">a)  </w:t>
      </w:r>
      <w:r w:rsidR="00741AEB" w:rsidRPr="00440EBF">
        <w:rPr>
          <w:szCs w:val="24"/>
        </w:rPr>
        <w:t>Tackle prejudice, and</w:t>
      </w:r>
    </w:p>
    <w:p w14:paraId="27568458" w14:textId="77777777" w:rsidR="00741AEB" w:rsidRPr="008D4ADA" w:rsidRDefault="00741AEB" w:rsidP="003D61E1">
      <w:pPr>
        <w:pStyle w:val="ListParagraph"/>
        <w:numPr>
          <w:ilvl w:val="0"/>
          <w:numId w:val="8"/>
        </w:numPr>
        <w:spacing w:after="240"/>
        <w:jc w:val="both"/>
        <w:rPr>
          <w:szCs w:val="24"/>
        </w:rPr>
      </w:pPr>
      <w:r w:rsidRPr="003728EE">
        <w:rPr>
          <w:szCs w:val="24"/>
        </w:rPr>
        <w:t>Promote understanding.</w:t>
      </w:r>
    </w:p>
    <w:p w14:paraId="3D1FE023" w14:textId="72E20D7A" w:rsidR="00741AEB" w:rsidRPr="00440EBF" w:rsidRDefault="00741AEB" w:rsidP="003D61E1">
      <w:pPr>
        <w:pStyle w:val="ListParagraph"/>
        <w:numPr>
          <w:ilvl w:val="1"/>
          <w:numId w:val="7"/>
        </w:numPr>
        <w:spacing w:after="240"/>
        <w:ind w:left="709" w:hanging="709"/>
        <w:jc w:val="both"/>
        <w:rPr>
          <w:szCs w:val="24"/>
        </w:rPr>
      </w:pPr>
      <w:r w:rsidRPr="00A969AA">
        <w:t>Compliance</w:t>
      </w:r>
      <w:r w:rsidRPr="0039329E">
        <w:rPr>
          <w:szCs w:val="24"/>
        </w:rPr>
        <w:t xml:space="preserve"> with the duties in this section </w:t>
      </w:r>
      <w:r w:rsidRPr="00440EBF">
        <w:rPr>
          <w:szCs w:val="24"/>
        </w:rPr>
        <w:t xml:space="preserve">may involve treating some </w:t>
      </w:r>
      <w:r w:rsidR="0020754A">
        <w:rPr>
          <w:szCs w:val="24"/>
        </w:rPr>
        <w:tab/>
      </w:r>
      <w:r w:rsidRPr="0039329E">
        <w:rPr>
          <w:szCs w:val="24"/>
        </w:rPr>
        <w:t xml:space="preserve">persons more favourably than others; but that is not to be taken as </w:t>
      </w:r>
      <w:r w:rsidR="0020754A">
        <w:rPr>
          <w:szCs w:val="24"/>
        </w:rPr>
        <w:tab/>
      </w:r>
      <w:r w:rsidRPr="0039329E">
        <w:rPr>
          <w:szCs w:val="24"/>
        </w:rPr>
        <w:t xml:space="preserve">permitting conduct that would otherwise be prohibited by or under this </w:t>
      </w:r>
      <w:r w:rsidR="0020754A">
        <w:rPr>
          <w:szCs w:val="24"/>
        </w:rPr>
        <w:tab/>
      </w:r>
      <w:r w:rsidRPr="0039329E">
        <w:rPr>
          <w:szCs w:val="24"/>
        </w:rPr>
        <w:t>Act. The relevant protected characteristics are:</w:t>
      </w:r>
    </w:p>
    <w:p w14:paraId="0AE67316" w14:textId="77777777" w:rsidR="00741AEB" w:rsidRPr="006B1DE1" w:rsidRDefault="00741AEB" w:rsidP="00173DA5">
      <w:pPr>
        <w:pStyle w:val="ListParagraph"/>
        <w:numPr>
          <w:ilvl w:val="0"/>
          <w:numId w:val="2"/>
        </w:numPr>
        <w:spacing w:after="240"/>
        <w:jc w:val="both"/>
        <w:rPr>
          <w:szCs w:val="24"/>
        </w:rPr>
      </w:pPr>
      <w:r w:rsidRPr="006B1DE1">
        <w:rPr>
          <w:szCs w:val="24"/>
        </w:rPr>
        <w:t>Age</w:t>
      </w:r>
    </w:p>
    <w:p w14:paraId="45D9DAB3" w14:textId="77777777" w:rsidR="00741AEB" w:rsidRPr="006B1DE1" w:rsidRDefault="00741AEB" w:rsidP="00173DA5">
      <w:pPr>
        <w:pStyle w:val="ListParagraph"/>
        <w:numPr>
          <w:ilvl w:val="0"/>
          <w:numId w:val="2"/>
        </w:numPr>
        <w:spacing w:after="240"/>
        <w:jc w:val="both"/>
        <w:rPr>
          <w:szCs w:val="24"/>
        </w:rPr>
      </w:pPr>
      <w:r w:rsidRPr="006B1DE1">
        <w:rPr>
          <w:szCs w:val="24"/>
        </w:rPr>
        <w:t>Disability</w:t>
      </w:r>
    </w:p>
    <w:p w14:paraId="51A7D859" w14:textId="77777777" w:rsidR="00741AEB" w:rsidRPr="006B1DE1" w:rsidRDefault="00741AEB" w:rsidP="00173DA5">
      <w:pPr>
        <w:pStyle w:val="ListParagraph"/>
        <w:numPr>
          <w:ilvl w:val="0"/>
          <w:numId w:val="2"/>
        </w:numPr>
        <w:spacing w:after="240"/>
        <w:jc w:val="both"/>
        <w:rPr>
          <w:szCs w:val="24"/>
        </w:rPr>
      </w:pPr>
      <w:r w:rsidRPr="006B1DE1">
        <w:rPr>
          <w:szCs w:val="24"/>
        </w:rPr>
        <w:t>Gender reassignment</w:t>
      </w:r>
    </w:p>
    <w:p w14:paraId="2F23A793" w14:textId="77777777" w:rsidR="00741AEB" w:rsidRPr="006B1DE1" w:rsidRDefault="00741AEB" w:rsidP="00173DA5">
      <w:pPr>
        <w:pStyle w:val="ListParagraph"/>
        <w:numPr>
          <w:ilvl w:val="0"/>
          <w:numId w:val="2"/>
        </w:numPr>
        <w:spacing w:after="240"/>
        <w:jc w:val="both"/>
        <w:rPr>
          <w:szCs w:val="24"/>
        </w:rPr>
      </w:pPr>
      <w:r w:rsidRPr="006B1DE1">
        <w:rPr>
          <w:szCs w:val="24"/>
        </w:rPr>
        <w:t>Pregnancy and maternity</w:t>
      </w:r>
    </w:p>
    <w:p w14:paraId="05E072B2" w14:textId="5BD1F5A9" w:rsidR="00741AEB" w:rsidRPr="006B1DE1" w:rsidRDefault="00531BC8" w:rsidP="00173DA5">
      <w:pPr>
        <w:pStyle w:val="ListParagraph"/>
        <w:numPr>
          <w:ilvl w:val="0"/>
          <w:numId w:val="2"/>
        </w:numPr>
        <w:spacing w:after="240"/>
        <w:jc w:val="both"/>
        <w:rPr>
          <w:szCs w:val="24"/>
        </w:rPr>
      </w:pPr>
      <w:r>
        <w:rPr>
          <w:szCs w:val="24"/>
        </w:rPr>
        <w:t>Race</w:t>
      </w:r>
    </w:p>
    <w:p w14:paraId="0E9CC44C" w14:textId="77777777" w:rsidR="00741AEB" w:rsidRPr="006B1DE1" w:rsidRDefault="00741AEB" w:rsidP="00173DA5">
      <w:pPr>
        <w:pStyle w:val="ListParagraph"/>
        <w:numPr>
          <w:ilvl w:val="0"/>
          <w:numId w:val="2"/>
        </w:numPr>
        <w:spacing w:after="240"/>
        <w:jc w:val="both"/>
        <w:rPr>
          <w:szCs w:val="24"/>
        </w:rPr>
      </w:pPr>
      <w:r w:rsidRPr="006B1DE1">
        <w:rPr>
          <w:szCs w:val="24"/>
        </w:rPr>
        <w:t>Religion or belief</w:t>
      </w:r>
    </w:p>
    <w:p w14:paraId="2F2362D7" w14:textId="77777777" w:rsidR="00741AEB" w:rsidRPr="006B1DE1" w:rsidRDefault="00741AEB" w:rsidP="00173DA5">
      <w:pPr>
        <w:pStyle w:val="ListParagraph"/>
        <w:numPr>
          <w:ilvl w:val="0"/>
          <w:numId w:val="2"/>
        </w:numPr>
        <w:spacing w:after="240"/>
        <w:jc w:val="both"/>
        <w:rPr>
          <w:szCs w:val="24"/>
        </w:rPr>
      </w:pPr>
      <w:r w:rsidRPr="006B1DE1">
        <w:rPr>
          <w:szCs w:val="24"/>
        </w:rPr>
        <w:t>Sex</w:t>
      </w:r>
    </w:p>
    <w:p w14:paraId="7B9393AA" w14:textId="77777777" w:rsidR="00741AEB" w:rsidRPr="006B1DE1" w:rsidRDefault="00741AEB" w:rsidP="00173DA5">
      <w:pPr>
        <w:pStyle w:val="ListParagraph"/>
        <w:numPr>
          <w:ilvl w:val="0"/>
          <w:numId w:val="2"/>
        </w:numPr>
        <w:spacing w:after="240"/>
        <w:jc w:val="both"/>
        <w:rPr>
          <w:szCs w:val="24"/>
        </w:rPr>
      </w:pPr>
      <w:r w:rsidRPr="006B1DE1">
        <w:rPr>
          <w:szCs w:val="24"/>
        </w:rPr>
        <w:t>Sexual orientation</w:t>
      </w:r>
    </w:p>
    <w:p w14:paraId="6794DE7C" w14:textId="77777777" w:rsidR="00741AEB" w:rsidRDefault="00741AEB" w:rsidP="00173DA5">
      <w:pPr>
        <w:pStyle w:val="ListParagraph"/>
        <w:numPr>
          <w:ilvl w:val="0"/>
          <w:numId w:val="2"/>
        </w:numPr>
        <w:spacing w:after="240"/>
        <w:jc w:val="both"/>
        <w:rPr>
          <w:szCs w:val="24"/>
        </w:rPr>
      </w:pPr>
      <w:r w:rsidRPr="006B1DE1">
        <w:rPr>
          <w:szCs w:val="24"/>
        </w:rPr>
        <w:t xml:space="preserve">Marriage and Civil partnership       </w:t>
      </w:r>
    </w:p>
    <w:p w14:paraId="5528334E" w14:textId="017C476A" w:rsidR="005E0EC3" w:rsidRPr="00BD22E6" w:rsidRDefault="00720057" w:rsidP="003D61E1">
      <w:pPr>
        <w:pStyle w:val="ListParagraph"/>
        <w:numPr>
          <w:ilvl w:val="1"/>
          <w:numId w:val="7"/>
        </w:numPr>
        <w:spacing w:after="240"/>
        <w:ind w:left="426" w:hanging="568"/>
        <w:jc w:val="both"/>
        <w:rPr>
          <w:rFonts w:cs="Arial"/>
          <w:szCs w:val="24"/>
        </w:rPr>
      </w:pPr>
      <w:r>
        <w:t xml:space="preserve">  </w:t>
      </w:r>
      <w:r w:rsidR="00B0165A">
        <w:t xml:space="preserve"> </w:t>
      </w:r>
      <w:r w:rsidR="006D7595">
        <w:t xml:space="preserve"> </w:t>
      </w:r>
      <w:r w:rsidR="00AD73E5" w:rsidRPr="006B1DE1">
        <w:t>A full equalities impact asses</w:t>
      </w:r>
      <w:r w:rsidR="0021334B">
        <w:t>sment was completed on the 2017</w:t>
      </w:r>
      <w:r w:rsidR="0067045D">
        <w:t>/18</w:t>
      </w:r>
      <w:r w:rsidR="00AD73E5" w:rsidRPr="006B1DE1">
        <w:t xml:space="preserve"> </w:t>
      </w:r>
      <w:r w:rsidR="00B0165A">
        <w:tab/>
      </w:r>
      <w:r w:rsidR="00AD73E5" w:rsidRPr="006B1DE1">
        <w:t xml:space="preserve">budget when the budget was set by Full Council. Equalities </w:t>
      </w:r>
      <w:r w:rsidR="00B0165A">
        <w:tab/>
      </w:r>
      <w:r w:rsidR="00AD73E5" w:rsidRPr="006B1DE1">
        <w:t xml:space="preserve">implications are taken into account by individual directorates whilst </w:t>
      </w:r>
      <w:r w:rsidR="00BD22E6">
        <w:tab/>
      </w:r>
      <w:r w:rsidR="00AD73E5" w:rsidRPr="006B1DE1">
        <w:t xml:space="preserve">running services and making decisions to vire money. A full equality </w:t>
      </w:r>
      <w:r w:rsidR="00BD22E6">
        <w:tab/>
      </w:r>
      <w:r w:rsidR="00AD73E5" w:rsidRPr="006B1DE1">
        <w:t>impact assessment will be c</w:t>
      </w:r>
      <w:r w:rsidR="0021334B">
        <w:t>ompleted on the budget for 2018</w:t>
      </w:r>
      <w:r w:rsidR="00DA17A5">
        <w:t>/19</w:t>
      </w:r>
      <w:r w:rsidR="0021334B">
        <w:t>.</w:t>
      </w:r>
    </w:p>
    <w:p w14:paraId="1C580A18" w14:textId="77777777" w:rsidR="00F67A46" w:rsidRPr="00F67A46" w:rsidRDefault="00F67A46" w:rsidP="00F67A46"/>
    <w:p w14:paraId="31C179B7" w14:textId="7597D8D9" w:rsidR="00741AEB" w:rsidRPr="00C50502" w:rsidRDefault="00AA383D" w:rsidP="000A2CF3">
      <w:pPr>
        <w:pStyle w:val="ListParagraph"/>
        <w:numPr>
          <w:ilvl w:val="0"/>
          <w:numId w:val="168"/>
        </w:numPr>
        <w:ind w:left="142" w:hanging="426"/>
        <w:jc w:val="both"/>
        <w:rPr>
          <w:szCs w:val="28"/>
        </w:rPr>
      </w:pPr>
      <w:r w:rsidRPr="000A2CF3">
        <w:rPr>
          <w:rFonts w:cs="Arial"/>
          <w:b/>
          <w:sz w:val="28"/>
          <w:szCs w:val="28"/>
        </w:rPr>
        <w:t xml:space="preserve"> </w:t>
      </w:r>
      <w:r w:rsidR="00741AEB" w:rsidRPr="000A2CF3">
        <w:rPr>
          <w:rFonts w:cs="Arial"/>
          <w:b/>
          <w:sz w:val="28"/>
          <w:szCs w:val="28"/>
        </w:rPr>
        <w:t>Financial Implications</w:t>
      </w:r>
    </w:p>
    <w:p w14:paraId="66672E5B" w14:textId="77777777" w:rsidR="00BD22E6" w:rsidRPr="0039329E" w:rsidRDefault="00BD22E6" w:rsidP="009E22B0"/>
    <w:p w14:paraId="1F6A57D7" w14:textId="7CD4B5D1" w:rsidR="00741AEB" w:rsidRDefault="00374CD9" w:rsidP="009E22B0">
      <w:pPr>
        <w:spacing w:after="240"/>
        <w:ind w:left="360"/>
      </w:pPr>
      <w:r w:rsidRPr="001C46E8">
        <w:t>F</w:t>
      </w:r>
      <w:r w:rsidR="00741AEB" w:rsidRPr="001C46E8">
        <w:t>inancial matters are integral to the report.</w:t>
      </w:r>
    </w:p>
    <w:p w14:paraId="4DB89378" w14:textId="7E06E30E" w:rsidR="00741AEB" w:rsidRDefault="00741AEB" w:rsidP="000A2CF3">
      <w:pPr>
        <w:pStyle w:val="ListParagraph"/>
        <w:numPr>
          <w:ilvl w:val="0"/>
          <w:numId w:val="168"/>
        </w:numPr>
        <w:ind w:left="142" w:hanging="426"/>
        <w:jc w:val="both"/>
      </w:pPr>
      <w:r w:rsidRPr="000A2CF3">
        <w:rPr>
          <w:rFonts w:cs="Arial"/>
          <w:b/>
          <w:sz w:val="28"/>
          <w:szCs w:val="28"/>
        </w:rPr>
        <w:t>Performance Issues</w:t>
      </w:r>
    </w:p>
    <w:p w14:paraId="3CFE3D8F" w14:textId="77777777" w:rsidR="00BD22E6" w:rsidRPr="0039329E" w:rsidRDefault="00BD22E6" w:rsidP="009E22B0"/>
    <w:p w14:paraId="008C5E0F" w14:textId="0B76A1C5" w:rsidR="0021777C" w:rsidRDefault="0021777C" w:rsidP="00FC2412">
      <w:pPr>
        <w:ind w:left="360"/>
        <w:jc w:val="both"/>
      </w:pPr>
      <w:r w:rsidRPr="0021777C">
        <w:t>Good financial performance is essential to achieving a balanced budget.  The financial performance is integrated with the strategic performance of the Council through quarterly Directorate Improvement Boards which consider the financial position alongside performance including key projects, service KPIs (including customer data and complaints) and workforce. Monitoring of finance and performance is reported regularly to the Corporate Strategic Board and Cabinet and is also considered by the Council's Performance and Finance Scrutiny Sub-Committee.</w:t>
      </w:r>
    </w:p>
    <w:p w14:paraId="24012763" w14:textId="77777777" w:rsidR="0021777C" w:rsidRPr="0021777C" w:rsidRDefault="0021777C" w:rsidP="00FC2412">
      <w:pPr>
        <w:ind w:left="360"/>
        <w:jc w:val="both"/>
      </w:pPr>
    </w:p>
    <w:p w14:paraId="5B50D4CF" w14:textId="41720ADB" w:rsidR="005E4706" w:rsidRDefault="0021777C" w:rsidP="00FC2412">
      <w:pPr>
        <w:ind w:left="360"/>
        <w:jc w:val="both"/>
      </w:pPr>
      <w:r w:rsidRPr="0021777C">
        <w:t>The</w:t>
      </w:r>
      <w:r w:rsidR="00E210B9">
        <w:t xml:space="preserve"> Revenue</w:t>
      </w:r>
      <w:r w:rsidRPr="0021777C">
        <w:t xml:space="preserve"> </w:t>
      </w:r>
      <w:r w:rsidR="004C134F">
        <w:t>forecast position a</w:t>
      </w:r>
      <w:r w:rsidR="00153D86">
        <w:t xml:space="preserve">t Quarter 3 is a </w:t>
      </w:r>
      <w:r w:rsidR="006545DF">
        <w:t>balanced position</w:t>
      </w:r>
      <w:r w:rsidR="00153D86">
        <w:t>.</w:t>
      </w:r>
      <w:r w:rsidR="003B4D84">
        <w:t xml:space="preserve"> </w:t>
      </w:r>
      <w:r w:rsidR="004C134F">
        <w:t xml:space="preserve"> </w:t>
      </w:r>
    </w:p>
    <w:p w14:paraId="7368E912" w14:textId="77777777" w:rsidR="008B3424" w:rsidRDefault="008B3424" w:rsidP="00FC2412">
      <w:pPr>
        <w:ind w:left="360"/>
        <w:jc w:val="both"/>
      </w:pPr>
    </w:p>
    <w:p w14:paraId="0B44938D" w14:textId="3CEEB382" w:rsidR="0021777C" w:rsidRDefault="00560CCD" w:rsidP="00FC2412">
      <w:pPr>
        <w:ind w:left="360"/>
        <w:jc w:val="both"/>
      </w:pPr>
      <w:r w:rsidRPr="00191901">
        <w:lastRenderedPageBreak/>
        <w:t>For the 2017</w:t>
      </w:r>
      <w:r w:rsidR="00FF50F6">
        <w:t>/18</w:t>
      </w:r>
      <w:r w:rsidR="0021777C" w:rsidRPr="00191901">
        <w:t xml:space="preserve"> savings built into the MTFS,</w:t>
      </w:r>
      <w:r w:rsidR="00FF50F6">
        <w:t xml:space="preserve"> the overall position </w:t>
      </w:r>
      <w:r w:rsidR="003B4D84">
        <w:t>as at Q</w:t>
      </w:r>
      <w:r w:rsidR="00B874E4">
        <w:t>3</w:t>
      </w:r>
      <w:r w:rsidR="003B4D84">
        <w:t xml:space="preserve"> is </w:t>
      </w:r>
      <w:r w:rsidR="00FF50F6">
        <w:t xml:space="preserve"> that 13</w:t>
      </w:r>
      <w:r w:rsidR="0021777C" w:rsidRPr="00191901">
        <w:t>% of the savings are RAG rated as blue (achieved and</w:t>
      </w:r>
      <w:r w:rsidR="00FF50F6">
        <w:t xml:space="preserve"> banked),  </w:t>
      </w:r>
      <w:r w:rsidR="003B4D84">
        <w:t>5</w:t>
      </w:r>
      <w:r w:rsidR="00C8529F">
        <w:t>0</w:t>
      </w:r>
      <w:r w:rsidR="0021777C" w:rsidRPr="00191901">
        <w:t>% green (ach</w:t>
      </w:r>
      <w:r w:rsidR="00FF50F6">
        <w:t>ievement of saving on track), 2</w:t>
      </w:r>
      <w:r w:rsidR="00C8529F">
        <w:t>1</w:t>
      </w:r>
      <w:r w:rsidR="0021777C" w:rsidRPr="00191901">
        <w:t>% amber (saving only partially ach</w:t>
      </w:r>
      <w:r w:rsidR="003C565A">
        <w:t xml:space="preserve">ieved or risks remaining) </w:t>
      </w:r>
      <w:r w:rsidR="00F277FB" w:rsidRPr="00191901">
        <w:t xml:space="preserve">and </w:t>
      </w:r>
      <w:r w:rsidR="00FF50F6">
        <w:t>1</w:t>
      </w:r>
      <w:r w:rsidR="00C8529F">
        <w:t>6</w:t>
      </w:r>
      <w:r w:rsidR="0021777C" w:rsidRPr="00191901">
        <w:t>% red (agreed saving not achievable).</w:t>
      </w:r>
    </w:p>
    <w:p w14:paraId="2E4CBF6B" w14:textId="77777777" w:rsidR="008B3424" w:rsidRDefault="008B3424" w:rsidP="00FC2412">
      <w:pPr>
        <w:ind w:left="360"/>
        <w:jc w:val="both"/>
      </w:pPr>
    </w:p>
    <w:p w14:paraId="51583932" w14:textId="60B5ED14" w:rsidR="008B3424" w:rsidRDefault="008B3424" w:rsidP="00FC2412">
      <w:pPr>
        <w:ind w:left="360"/>
        <w:jc w:val="both"/>
      </w:pPr>
      <w:r w:rsidRPr="004926C1">
        <w:t xml:space="preserve">The Capital Programme is projecting </w:t>
      </w:r>
      <w:r w:rsidR="00AC34B2" w:rsidRPr="004926C1">
        <w:t xml:space="preserve">a spend of </w:t>
      </w:r>
      <w:r w:rsidR="00B874E4">
        <w:t>51</w:t>
      </w:r>
      <w:r w:rsidR="00AC34B2" w:rsidRPr="004926C1">
        <w:t xml:space="preserve">% as at quarter </w:t>
      </w:r>
      <w:r w:rsidR="00B874E4">
        <w:t>3</w:t>
      </w:r>
      <w:r w:rsidR="00AC34B2">
        <w:t>.</w:t>
      </w:r>
    </w:p>
    <w:p w14:paraId="2B6EF4AF" w14:textId="77777777" w:rsidR="00A554C7" w:rsidRDefault="00A554C7" w:rsidP="00FC2412">
      <w:pPr>
        <w:jc w:val="both"/>
        <w:rPr>
          <w:b/>
          <w:sz w:val="28"/>
          <w:szCs w:val="28"/>
        </w:rPr>
      </w:pPr>
    </w:p>
    <w:p w14:paraId="10454A81" w14:textId="5FB87ADD" w:rsidR="00741AEB" w:rsidRPr="006B1DE1" w:rsidRDefault="00A554C7" w:rsidP="00A554C7">
      <w:pPr>
        <w:ind w:hanging="284"/>
        <w:rPr>
          <w:b/>
          <w:sz w:val="28"/>
          <w:szCs w:val="28"/>
        </w:rPr>
      </w:pPr>
      <w:r>
        <w:rPr>
          <w:b/>
          <w:sz w:val="28"/>
          <w:szCs w:val="28"/>
        </w:rPr>
        <w:t>9</w:t>
      </w:r>
      <w:r w:rsidR="00D73C5B">
        <w:rPr>
          <w:b/>
          <w:sz w:val="28"/>
          <w:szCs w:val="28"/>
        </w:rPr>
        <w:t>.</w:t>
      </w:r>
      <w:r w:rsidR="00AA383D">
        <w:rPr>
          <w:b/>
          <w:sz w:val="28"/>
          <w:szCs w:val="28"/>
        </w:rPr>
        <w:t xml:space="preserve"> </w:t>
      </w:r>
      <w:r w:rsidR="00741AEB" w:rsidRPr="006B1DE1">
        <w:rPr>
          <w:b/>
          <w:sz w:val="28"/>
          <w:szCs w:val="28"/>
        </w:rPr>
        <w:t>Risk Management Implications</w:t>
      </w:r>
    </w:p>
    <w:p w14:paraId="4D47F0C9" w14:textId="77777777" w:rsidR="00741AEB" w:rsidRDefault="00741AEB" w:rsidP="009E22B0">
      <w:pPr>
        <w:spacing w:after="240"/>
        <w:ind w:left="360"/>
      </w:pPr>
      <w:r w:rsidRPr="00374CD9">
        <w:t>The risks to the Council and how they are being managed are set out in the report.</w:t>
      </w:r>
    </w:p>
    <w:p w14:paraId="5BED1DA8" w14:textId="77777777" w:rsidR="005378F7" w:rsidRDefault="005378F7" w:rsidP="009E22B0">
      <w:pPr>
        <w:spacing w:after="240"/>
        <w:ind w:left="360"/>
      </w:pPr>
      <w:r w:rsidRPr="005378F7">
        <w:t>Risks are included on the Directorate risk registers</w:t>
      </w:r>
    </w:p>
    <w:p w14:paraId="7F0F91CA" w14:textId="4F3D5860" w:rsidR="00741AEB" w:rsidRPr="006B1DE1" w:rsidRDefault="006F4358" w:rsidP="00A554C7">
      <w:pPr>
        <w:pStyle w:val="ListParagraph"/>
        <w:keepNext/>
        <w:spacing w:after="240"/>
        <w:ind w:left="0" w:hanging="284"/>
        <w:rPr>
          <w:b/>
          <w:sz w:val="28"/>
          <w:szCs w:val="28"/>
        </w:rPr>
      </w:pPr>
      <w:r>
        <w:rPr>
          <w:b/>
          <w:sz w:val="28"/>
          <w:szCs w:val="28"/>
        </w:rPr>
        <w:t>10</w:t>
      </w:r>
      <w:r w:rsidR="00AA383D">
        <w:rPr>
          <w:b/>
          <w:sz w:val="28"/>
          <w:szCs w:val="28"/>
        </w:rPr>
        <w:t xml:space="preserve">. </w:t>
      </w:r>
      <w:r w:rsidR="00741AEB" w:rsidRPr="006B1DE1">
        <w:rPr>
          <w:b/>
          <w:sz w:val="28"/>
          <w:szCs w:val="28"/>
        </w:rPr>
        <w:t>Council Priorities</w:t>
      </w:r>
    </w:p>
    <w:p w14:paraId="5776099E" w14:textId="4F174382" w:rsidR="00741AEB" w:rsidRPr="006B1DE1" w:rsidRDefault="00741AEB" w:rsidP="000A3C5C">
      <w:pPr>
        <w:spacing w:after="240"/>
        <w:ind w:left="360"/>
        <w:rPr>
          <w:rFonts w:cs="Arial"/>
          <w:szCs w:val="24"/>
        </w:rPr>
      </w:pPr>
      <w:r w:rsidRPr="00677491">
        <w:t>The</w:t>
      </w:r>
      <w:r w:rsidRPr="006B1DE1">
        <w:rPr>
          <w:rFonts w:cs="Arial"/>
          <w:szCs w:val="24"/>
        </w:rPr>
        <w:t xml:space="preserve"> </w:t>
      </w:r>
      <w:r w:rsidRPr="00A969AA">
        <w:t>Council’s</w:t>
      </w:r>
      <w:r w:rsidRPr="006B1DE1">
        <w:rPr>
          <w:rFonts w:cs="Arial"/>
          <w:szCs w:val="24"/>
        </w:rPr>
        <w:t xml:space="preserve"> vision is:</w:t>
      </w:r>
      <w:r w:rsidRPr="006B1DE1">
        <w:rPr>
          <w:rFonts w:cs="Arial"/>
          <w:szCs w:val="24"/>
        </w:rPr>
        <w:tab/>
      </w:r>
    </w:p>
    <w:p w14:paraId="665BE20A" w14:textId="77777777" w:rsidR="00741AEB" w:rsidRPr="006B1DE1" w:rsidRDefault="00741AEB" w:rsidP="00741AEB">
      <w:pPr>
        <w:rPr>
          <w:rFonts w:cs="Arial"/>
          <w:szCs w:val="24"/>
        </w:rPr>
      </w:pPr>
      <w:r w:rsidRPr="006B1DE1">
        <w:rPr>
          <w:rFonts w:cs="Arial"/>
          <w:b/>
          <w:szCs w:val="24"/>
        </w:rPr>
        <w:t>Working Together to Make a Difference for Harrow</w:t>
      </w:r>
      <w:r w:rsidRPr="006B1DE1">
        <w:rPr>
          <w:rFonts w:cs="Arial"/>
          <w:szCs w:val="24"/>
        </w:rPr>
        <w:t xml:space="preserve"> </w:t>
      </w:r>
    </w:p>
    <w:p w14:paraId="6DFB8C32" w14:textId="77777777" w:rsidR="00741AEB" w:rsidRPr="006B1DE1" w:rsidRDefault="00741AEB" w:rsidP="00741AEB">
      <w:pPr>
        <w:rPr>
          <w:rFonts w:cs="Arial"/>
          <w:szCs w:val="24"/>
        </w:rPr>
      </w:pPr>
    </w:p>
    <w:p w14:paraId="7F8E0BCB" w14:textId="4A85A4CC" w:rsidR="00741AEB" w:rsidRPr="006B1DE1" w:rsidRDefault="00741AEB" w:rsidP="000A3C5C">
      <w:pPr>
        <w:spacing w:after="240"/>
        <w:ind w:left="360"/>
      </w:pPr>
      <w:r w:rsidRPr="006B1DE1">
        <w:rPr>
          <w:rFonts w:cs="Arial"/>
          <w:szCs w:val="24"/>
        </w:rPr>
        <w:t xml:space="preserve">The </w:t>
      </w:r>
      <w:r w:rsidRPr="0031658B">
        <w:rPr>
          <w:rFonts w:cs="Arial"/>
          <w:szCs w:val="24"/>
        </w:rPr>
        <w:t>Council’s</w:t>
      </w:r>
      <w:r w:rsidRPr="006B1DE1">
        <w:rPr>
          <w:rFonts w:cs="Arial"/>
          <w:szCs w:val="24"/>
        </w:rPr>
        <w:t xml:space="preserve"> priorities are:</w:t>
      </w:r>
    </w:p>
    <w:p w14:paraId="076767E1" w14:textId="77777777" w:rsidR="00741AEB" w:rsidRPr="006B1DE1" w:rsidRDefault="00741AEB" w:rsidP="00741AEB">
      <w:pPr>
        <w:tabs>
          <w:tab w:val="left" w:pos="748"/>
        </w:tabs>
        <w:ind w:left="1058" w:hanging="349"/>
        <w:jc w:val="both"/>
        <w:rPr>
          <w:rFonts w:cs="Arial"/>
          <w:szCs w:val="24"/>
        </w:rPr>
      </w:pPr>
      <w:r w:rsidRPr="006B1DE1">
        <w:rPr>
          <w:rFonts w:cs="Arial"/>
          <w:szCs w:val="24"/>
        </w:rPr>
        <w:t>Making a difference for the vulnerable</w:t>
      </w:r>
    </w:p>
    <w:p w14:paraId="2508E341" w14:textId="77777777" w:rsidR="00741AEB" w:rsidRPr="006B1DE1" w:rsidRDefault="00741AEB" w:rsidP="00741AEB">
      <w:pPr>
        <w:tabs>
          <w:tab w:val="left" w:pos="748"/>
        </w:tabs>
        <w:suppressAutoHyphens/>
        <w:ind w:left="1058" w:hanging="349"/>
        <w:jc w:val="both"/>
        <w:rPr>
          <w:rFonts w:cs="Arial"/>
          <w:szCs w:val="24"/>
        </w:rPr>
      </w:pPr>
      <w:r w:rsidRPr="006B1DE1">
        <w:rPr>
          <w:rFonts w:cs="Arial"/>
          <w:szCs w:val="24"/>
        </w:rPr>
        <w:t>Making a difference for communities</w:t>
      </w:r>
    </w:p>
    <w:p w14:paraId="6102F726" w14:textId="77777777" w:rsidR="00741AEB" w:rsidRPr="006B1DE1" w:rsidRDefault="00741AEB" w:rsidP="00741AEB">
      <w:pPr>
        <w:tabs>
          <w:tab w:val="left" w:pos="748"/>
        </w:tabs>
        <w:suppressAutoHyphens/>
        <w:ind w:left="1058" w:hanging="349"/>
        <w:jc w:val="both"/>
        <w:rPr>
          <w:rFonts w:cs="Arial"/>
          <w:szCs w:val="24"/>
        </w:rPr>
      </w:pPr>
      <w:r w:rsidRPr="006B1DE1">
        <w:rPr>
          <w:rFonts w:cs="Arial"/>
          <w:szCs w:val="24"/>
        </w:rPr>
        <w:t>Making a difference for local businesses</w:t>
      </w:r>
    </w:p>
    <w:p w14:paraId="49D05208" w14:textId="77777777" w:rsidR="00741AEB" w:rsidRPr="006B1DE1" w:rsidRDefault="00741AEB" w:rsidP="00741AEB">
      <w:pPr>
        <w:tabs>
          <w:tab w:val="left" w:pos="748"/>
        </w:tabs>
        <w:suppressAutoHyphens/>
        <w:spacing w:after="240"/>
        <w:ind w:left="1058" w:hanging="349"/>
        <w:jc w:val="both"/>
        <w:rPr>
          <w:rFonts w:cs="Arial"/>
          <w:szCs w:val="24"/>
        </w:rPr>
      </w:pPr>
      <w:r w:rsidRPr="006B1DE1">
        <w:rPr>
          <w:rFonts w:cs="Arial"/>
          <w:szCs w:val="24"/>
        </w:rPr>
        <w:t>Making a difference for families</w:t>
      </w:r>
    </w:p>
    <w:p w14:paraId="766DB4CD" w14:textId="434E475A" w:rsidR="00741AEB" w:rsidRDefault="00741AEB" w:rsidP="000A2CF3">
      <w:pPr>
        <w:spacing w:after="240"/>
        <w:ind w:left="360"/>
      </w:pPr>
      <w:r w:rsidRPr="006B1DE1">
        <w:t xml:space="preserve">This </w:t>
      </w:r>
      <w:r w:rsidRPr="0031658B">
        <w:rPr>
          <w:rFonts w:cs="Arial"/>
          <w:szCs w:val="24"/>
        </w:rPr>
        <w:t>report</w:t>
      </w:r>
      <w:r w:rsidRPr="006B1DE1">
        <w:t xml:space="preserve"> deals with Revenue and Capital monitoring which is key to delivering the infrastructure to deliver the Council’s priorities.</w:t>
      </w:r>
    </w:p>
    <w:p w14:paraId="09F7AA51" w14:textId="4EF8230A" w:rsidR="00741AEB" w:rsidRPr="006B1DE1" w:rsidRDefault="00741AEB" w:rsidP="00741AEB">
      <w:pPr>
        <w:pStyle w:val="Heading1"/>
        <w:keepNext/>
      </w:pPr>
      <w:r w:rsidRPr="006B1DE1">
        <w:t>Section 3 - Statutory Officer Clearance</w:t>
      </w:r>
    </w:p>
    <w:p w14:paraId="7D4DA590" w14:textId="77777777" w:rsidR="00741AEB" w:rsidRPr="006B1DE1" w:rsidRDefault="00741AEB" w:rsidP="00741AEB">
      <w:pPr>
        <w:keepNext/>
        <w:rPr>
          <w:rFonts w:cs="Arial"/>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1"/>
        <w:gridCol w:w="405"/>
        <w:gridCol w:w="222"/>
        <w:gridCol w:w="3796"/>
      </w:tblGrid>
      <w:tr w:rsidR="00741AEB" w:rsidRPr="006B1DE1" w14:paraId="3C143FB1" w14:textId="77777777" w:rsidTr="003B20DC">
        <w:trPr>
          <w:trHeight w:val="576"/>
        </w:trPr>
        <w:tc>
          <w:tcPr>
            <w:tcW w:w="2321" w:type="pct"/>
            <w:tcBorders>
              <w:bottom w:val="nil"/>
              <w:right w:val="nil"/>
            </w:tcBorders>
          </w:tcPr>
          <w:p w14:paraId="673248E0" w14:textId="77777777" w:rsidR="00741AEB" w:rsidRPr="006B1DE1" w:rsidRDefault="00741AEB" w:rsidP="00741AEB">
            <w:pPr>
              <w:pStyle w:val="Infotext"/>
            </w:pPr>
          </w:p>
        </w:tc>
        <w:tc>
          <w:tcPr>
            <w:tcW w:w="246" w:type="pct"/>
            <w:tcBorders>
              <w:left w:val="nil"/>
              <w:right w:val="nil"/>
            </w:tcBorders>
          </w:tcPr>
          <w:p w14:paraId="0F22B0AA" w14:textId="77777777" w:rsidR="00741AEB" w:rsidRPr="006B1DE1" w:rsidRDefault="00741AEB" w:rsidP="00741AEB">
            <w:pPr>
              <w:pStyle w:val="Infotext"/>
            </w:pPr>
          </w:p>
        </w:tc>
        <w:tc>
          <w:tcPr>
            <w:tcW w:w="133" w:type="pct"/>
            <w:tcBorders>
              <w:left w:val="nil"/>
              <w:bottom w:val="nil"/>
              <w:right w:val="nil"/>
            </w:tcBorders>
          </w:tcPr>
          <w:p w14:paraId="40E023D4" w14:textId="77777777" w:rsidR="00741AEB" w:rsidRPr="006B1DE1" w:rsidRDefault="00741AEB" w:rsidP="00741AEB">
            <w:pPr>
              <w:pStyle w:val="Infotext"/>
            </w:pPr>
          </w:p>
        </w:tc>
        <w:tc>
          <w:tcPr>
            <w:tcW w:w="2300" w:type="pct"/>
            <w:tcBorders>
              <w:left w:val="nil"/>
              <w:bottom w:val="nil"/>
            </w:tcBorders>
          </w:tcPr>
          <w:p w14:paraId="71CB4D16" w14:textId="77777777" w:rsidR="00741AEB" w:rsidRPr="006B1DE1" w:rsidRDefault="00741AEB" w:rsidP="00741AEB">
            <w:pPr>
              <w:pStyle w:val="Infotext"/>
            </w:pPr>
          </w:p>
          <w:p w14:paraId="1F59335D" w14:textId="77777777" w:rsidR="00741AEB" w:rsidRPr="006B1DE1" w:rsidRDefault="00741AEB" w:rsidP="00741AEB">
            <w:pPr>
              <w:pStyle w:val="Infotext"/>
            </w:pPr>
          </w:p>
        </w:tc>
      </w:tr>
      <w:tr w:rsidR="00741AEB" w:rsidRPr="006B1DE1" w14:paraId="5822521C" w14:textId="77777777" w:rsidTr="003B20DC">
        <w:trPr>
          <w:trHeight w:val="293"/>
        </w:trPr>
        <w:tc>
          <w:tcPr>
            <w:tcW w:w="2321" w:type="pct"/>
            <w:tcBorders>
              <w:top w:val="nil"/>
              <w:bottom w:val="nil"/>
            </w:tcBorders>
          </w:tcPr>
          <w:p w14:paraId="6FDC3906" w14:textId="77777777" w:rsidR="00741AEB" w:rsidRPr="006B1DE1" w:rsidRDefault="00741AEB" w:rsidP="00741AEB">
            <w:pPr>
              <w:pStyle w:val="Infotext"/>
            </w:pPr>
            <w:r w:rsidRPr="006B1DE1">
              <w:t>Name: Dawn Calvert</w:t>
            </w:r>
          </w:p>
        </w:tc>
        <w:tc>
          <w:tcPr>
            <w:tcW w:w="246" w:type="pct"/>
            <w:tcBorders>
              <w:bottom w:val="single" w:sz="4" w:space="0" w:color="auto"/>
            </w:tcBorders>
          </w:tcPr>
          <w:p w14:paraId="6E847F35" w14:textId="4056D17D" w:rsidR="00741AEB" w:rsidRPr="006B1DE1" w:rsidRDefault="000148CC" w:rsidP="00741AEB">
            <w:pPr>
              <w:pStyle w:val="Infotext"/>
            </w:pPr>
            <w:r>
              <w:t>x</w:t>
            </w:r>
          </w:p>
        </w:tc>
        <w:tc>
          <w:tcPr>
            <w:tcW w:w="133" w:type="pct"/>
            <w:tcBorders>
              <w:top w:val="nil"/>
              <w:bottom w:val="nil"/>
              <w:right w:val="nil"/>
            </w:tcBorders>
          </w:tcPr>
          <w:p w14:paraId="6C1100F9" w14:textId="77777777" w:rsidR="00741AEB" w:rsidRPr="006B1DE1" w:rsidRDefault="00741AEB" w:rsidP="00741AEB">
            <w:pPr>
              <w:pStyle w:val="Infotext"/>
            </w:pPr>
          </w:p>
        </w:tc>
        <w:tc>
          <w:tcPr>
            <w:tcW w:w="2300" w:type="pct"/>
            <w:tcBorders>
              <w:top w:val="nil"/>
              <w:left w:val="nil"/>
              <w:bottom w:val="nil"/>
            </w:tcBorders>
          </w:tcPr>
          <w:p w14:paraId="635F3FE0" w14:textId="77777777" w:rsidR="00741AEB" w:rsidRPr="006B1DE1" w:rsidRDefault="00741AEB" w:rsidP="00741AEB">
            <w:pPr>
              <w:pStyle w:val="Infotext"/>
            </w:pPr>
            <w:r w:rsidRPr="006B1DE1">
              <w:t>Chief Financial Officer</w:t>
            </w:r>
          </w:p>
        </w:tc>
      </w:tr>
      <w:tr w:rsidR="00741AEB" w:rsidRPr="006B1DE1" w14:paraId="1D8363A7" w14:textId="77777777" w:rsidTr="003B20DC">
        <w:trPr>
          <w:trHeight w:val="576"/>
        </w:trPr>
        <w:tc>
          <w:tcPr>
            <w:tcW w:w="2321" w:type="pct"/>
            <w:tcBorders>
              <w:top w:val="nil"/>
              <w:right w:val="nil"/>
            </w:tcBorders>
          </w:tcPr>
          <w:p w14:paraId="37B4DEEE" w14:textId="77777777" w:rsidR="00741AEB" w:rsidRPr="006B1DE1" w:rsidRDefault="00741AEB" w:rsidP="00741AEB">
            <w:pPr>
              <w:pStyle w:val="Infotext"/>
            </w:pPr>
            <w:r w:rsidRPr="006B1DE1">
              <w:t xml:space="preserve"> </w:t>
            </w:r>
          </w:p>
          <w:p w14:paraId="30D91360" w14:textId="5DAF7271" w:rsidR="00741AEB" w:rsidRPr="006B1DE1" w:rsidRDefault="00741AEB" w:rsidP="000148CC">
            <w:pPr>
              <w:pStyle w:val="Infotext"/>
            </w:pPr>
            <w:r w:rsidRPr="006B1DE1">
              <w:t xml:space="preserve">Date: </w:t>
            </w:r>
            <w:r w:rsidR="00530E7B">
              <w:t xml:space="preserve"> </w:t>
            </w:r>
            <w:r w:rsidR="00073D1A">
              <w:t>5 February 2018</w:t>
            </w:r>
          </w:p>
        </w:tc>
        <w:tc>
          <w:tcPr>
            <w:tcW w:w="246" w:type="pct"/>
            <w:tcBorders>
              <w:left w:val="nil"/>
              <w:bottom w:val="single" w:sz="4" w:space="0" w:color="auto"/>
              <w:right w:val="nil"/>
            </w:tcBorders>
          </w:tcPr>
          <w:p w14:paraId="12C90539" w14:textId="77777777" w:rsidR="00741AEB" w:rsidRPr="006B1DE1" w:rsidRDefault="00741AEB" w:rsidP="00741AEB">
            <w:pPr>
              <w:pStyle w:val="Infotext"/>
            </w:pPr>
          </w:p>
        </w:tc>
        <w:tc>
          <w:tcPr>
            <w:tcW w:w="133" w:type="pct"/>
            <w:tcBorders>
              <w:top w:val="nil"/>
              <w:left w:val="nil"/>
              <w:right w:val="nil"/>
            </w:tcBorders>
          </w:tcPr>
          <w:p w14:paraId="44DA09CA" w14:textId="77777777" w:rsidR="00741AEB" w:rsidRPr="006B1DE1" w:rsidRDefault="00741AEB" w:rsidP="00741AEB">
            <w:pPr>
              <w:pStyle w:val="Infotext"/>
            </w:pPr>
          </w:p>
        </w:tc>
        <w:tc>
          <w:tcPr>
            <w:tcW w:w="2300" w:type="pct"/>
            <w:tcBorders>
              <w:top w:val="nil"/>
              <w:left w:val="nil"/>
            </w:tcBorders>
          </w:tcPr>
          <w:p w14:paraId="7BB6590E" w14:textId="77777777" w:rsidR="00741AEB" w:rsidRPr="006B1DE1" w:rsidRDefault="00741AEB" w:rsidP="00741AEB">
            <w:pPr>
              <w:pStyle w:val="Infotext"/>
            </w:pPr>
          </w:p>
        </w:tc>
      </w:tr>
      <w:tr w:rsidR="00741AEB" w:rsidRPr="006B1DE1" w14:paraId="2C23E48D" w14:textId="77777777" w:rsidTr="003B20DC">
        <w:trPr>
          <w:trHeight w:val="585"/>
        </w:trPr>
        <w:tc>
          <w:tcPr>
            <w:tcW w:w="2321" w:type="pct"/>
            <w:tcBorders>
              <w:bottom w:val="nil"/>
              <w:right w:val="nil"/>
            </w:tcBorders>
          </w:tcPr>
          <w:p w14:paraId="1A9CEA60" w14:textId="77777777" w:rsidR="00741AEB" w:rsidRPr="006B1DE1" w:rsidRDefault="00741AEB" w:rsidP="00741AEB">
            <w:pPr>
              <w:pStyle w:val="Infotext"/>
            </w:pPr>
          </w:p>
        </w:tc>
        <w:tc>
          <w:tcPr>
            <w:tcW w:w="246" w:type="pct"/>
            <w:tcBorders>
              <w:left w:val="nil"/>
              <w:right w:val="nil"/>
            </w:tcBorders>
          </w:tcPr>
          <w:p w14:paraId="10D82026" w14:textId="77777777" w:rsidR="00741AEB" w:rsidRPr="006B1DE1" w:rsidRDefault="00741AEB" w:rsidP="00741AEB">
            <w:pPr>
              <w:pStyle w:val="Infotext"/>
            </w:pPr>
          </w:p>
        </w:tc>
        <w:tc>
          <w:tcPr>
            <w:tcW w:w="133" w:type="pct"/>
            <w:tcBorders>
              <w:left w:val="nil"/>
              <w:bottom w:val="nil"/>
              <w:right w:val="nil"/>
            </w:tcBorders>
          </w:tcPr>
          <w:p w14:paraId="4E55F8EB" w14:textId="77777777" w:rsidR="00741AEB" w:rsidRPr="006B1DE1" w:rsidRDefault="00741AEB" w:rsidP="00741AEB">
            <w:pPr>
              <w:pStyle w:val="Infotext"/>
            </w:pPr>
          </w:p>
        </w:tc>
        <w:tc>
          <w:tcPr>
            <w:tcW w:w="2300" w:type="pct"/>
            <w:tcBorders>
              <w:left w:val="nil"/>
              <w:bottom w:val="nil"/>
            </w:tcBorders>
          </w:tcPr>
          <w:p w14:paraId="533B222A" w14:textId="77777777" w:rsidR="00741AEB" w:rsidRPr="006B1DE1" w:rsidRDefault="00741AEB" w:rsidP="00741AEB">
            <w:pPr>
              <w:pStyle w:val="Infotext"/>
            </w:pPr>
          </w:p>
          <w:p w14:paraId="1E9A9A73" w14:textId="77777777" w:rsidR="00741AEB" w:rsidRPr="006B1DE1" w:rsidRDefault="00741AEB" w:rsidP="00741AEB">
            <w:pPr>
              <w:pStyle w:val="Infotext"/>
            </w:pPr>
            <w:r w:rsidRPr="006B1DE1">
              <w:t>on behalf of the</w:t>
            </w:r>
          </w:p>
        </w:tc>
      </w:tr>
      <w:tr w:rsidR="00741AEB" w:rsidRPr="006B1DE1" w14:paraId="0F0723F5" w14:textId="77777777" w:rsidTr="003B20DC">
        <w:trPr>
          <w:trHeight w:val="293"/>
        </w:trPr>
        <w:tc>
          <w:tcPr>
            <w:tcW w:w="2321" w:type="pct"/>
            <w:tcBorders>
              <w:top w:val="nil"/>
              <w:bottom w:val="nil"/>
            </w:tcBorders>
          </w:tcPr>
          <w:p w14:paraId="7803C697" w14:textId="7F744CFD" w:rsidR="00741AEB" w:rsidRPr="006B1DE1" w:rsidRDefault="00741AEB">
            <w:pPr>
              <w:pStyle w:val="Infotext"/>
            </w:pPr>
            <w:r w:rsidRPr="006B1DE1">
              <w:t xml:space="preserve">Name: </w:t>
            </w:r>
            <w:r w:rsidR="006F4358">
              <w:t>Jessica Farmer</w:t>
            </w:r>
          </w:p>
        </w:tc>
        <w:tc>
          <w:tcPr>
            <w:tcW w:w="246" w:type="pct"/>
            <w:tcBorders>
              <w:bottom w:val="single" w:sz="4" w:space="0" w:color="auto"/>
            </w:tcBorders>
          </w:tcPr>
          <w:p w14:paraId="43E69919" w14:textId="2EC63537" w:rsidR="00741AEB" w:rsidRPr="006B1DE1" w:rsidRDefault="000148CC" w:rsidP="00741AEB">
            <w:pPr>
              <w:pStyle w:val="Infotext"/>
            </w:pPr>
            <w:r>
              <w:t>x</w:t>
            </w:r>
          </w:p>
        </w:tc>
        <w:tc>
          <w:tcPr>
            <w:tcW w:w="133" w:type="pct"/>
            <w:tcBorders>
              <w:top w:val="nil"/>
              <w:bottom w:val="nil"/>
              <w:right w:val="nil"/>
            </w:tcBorders>
          </w:tcPr>
          <w:p w14:paraId="008C32DF" w14:textId="77777777" w:rsidR="00741AEB" w:rsidRPr="006B1DE1" w:rsidRDefault="00741AEB" w:rsidP="00741AEB">
            <w:pPr>
              <w:pStyle w:val="Infotext"/>
            </w:pPr>
          </w:p>
        </w:tc>
        <w:tc>
          <w:tcPr>
            <w:tcW w:w="2300" w:type="pct"/>
            <w:tcBorders>
              <w:top w:val="nil"/>
              <w:left w:val="nil"/>
              <w:bottom w:val="nil"/>
            </w:tcBorders>
          </w:tcPr>
          <w:p w14:paraId="1D883FE0" w14:textId="77777777" w:rsidR="00741AEB" w:rsidRPr="006B1DE1" w:rsidRDefault="00741AEB" w:rsidP="00741AEB">
            <w:pPr>
              <w:pStyle w:val="Infotext"/>
            </w:pPr>
            <w:r w:rsidRPr="006B1DE1">
              <w:t>Monitoring Officer</w:t>
            </w:r>
          </w:p>
        </w:tc>
      </w:tr>
      <w:tr w:rsidR="00741AEB" w:rsidRPr="006B1DE1" w14:paraId="66B81294" w14:textId="77777777" w:rsidTr="003B20DC">
        <w:trPr>
          <w:trHeight w:val="585"/>
        </w:trPr>
        <w:tc>
          <w:tcPr>
            <w:tcW w:w="2321" w:type="pct"/>
            <w:tcBorders>
              <w:top w:val="nil"/>
              <w:right w:val="nil"/>
            </w:tcBorders>
          </w:tcPr>
          <w:p w14:paraId="1FFB3A19" w14:textId="77777777" w:rsidR="00741AEB" w:rsidRPr="006B1DE1" w:rsidRDefault="00741AEB" w:rsidP="00741AEB">
            <w:pPr>
              <w:pStyle w:val="Infotext"/>
            </w:pPr>
          </w:p>
          <w:p w14:paraId="03F082E0" w14:textId="04F4427F" w:rsidR="00741AEB" w:rsidRPr="006B1DE1" w:rsidRDefault="00741AEB" w:rsidP="000148CC">
            <w:pPr>
              <w:pStyle w:val="Infotext"/>
            </w:pPr>
            <w:r w:rsidRPr="006B1DE1">
              <w:t>Date</w:t>
            </w:r>
            <w:r w:rsidR="003B4D84">
              <w:t>:</w:t>
            </w:r>
            <w:r w:rsidR="006F4358">
              <w:t xml:space="preserve">  </w:t>
            </w:r>
            <w:r w:rsidR="00073D1A">
              <w:t>19 January 2018</w:t>
            </w:r>
          </w:p>
        </w:tc>
        <w:tc>
          <w:tcPr>
            <w:tcW w:w="246" w:type="pct"/>
            <w:tcBorders>
              <w:left w:val="nil"/>
              <w:right w:val="nil"/>
            </w:tcBorders>
          </w:tcPr>
          <w:p w14:paraId="3CD98688" w14:textId="77777777" w:rsidR="00741AEB" w:rsidRPr="006B1DE1" w:rsidRDefault="00741AEB" w:rsidP="00741AEB">
            <w:pPr>
              <w:pStyle w:val="Infotext"/>
            </w:pPr>
          </w:p>
        </w:tc>
        <w:tc>
          <w:tcPr>
            <w:tcW w:w="133" w:type="pct"/>
            <w:tcBorders>
              <w:top w:val="nil"/>
              <w:left w:val="nil"/>
              <w:right w:val="nil"/>
            </w:tcBorders>
          </w:tcPr>
          <w:p w14:paraId="000AE59E" w14:textId="77777777" w:rsidR="00741AEB" w:rsidRPr="006B1DE1" w:rsidRDefault="00741AEB" w:rsidP="00741AEB">
            <w:pPr>
              <w:pStyle w:val="Infotext"/>
            </w:pPr>
          </w:p>
        </w:tc>
        <w:tc>
          <w:tcPr>
            <w:tcW w:w="2300" w:type="pct"/>
            <w:tcBorders>
              <w:top w:val="nil"/>
              <w:left w:val="nil"/>
            </w:tcBorders>
          </w:tcPr>
          <w:p w14:paraId="3D177DDE" w14:textId="77777777" w:rsidR="00741AEB" w:rsidRPr="006B1DE1" w:rsidRDefault="00741AEB" w:rsidP="00741AEB">
            <w:pPr>
              <w:pStyle w:val="Infotext"/>
            </w:pPr>
          </w:p>
          <w:p w14:paraId="49449294" w14:textId="77777777" w:rsidR="00741AEB" w:rsidRPr="006B1DE1" w:rsidRDefault="00741AEB" w:rsidP="00741AEB">
            <w:pPr>
              <w:pStyle w:val="Infotext"/>
            </w:pPr>
          </w:p>
        </w:tc>
      </w:tr>
    </w:tbl>
    <w:p w14:paraId="3EAD974D" w14:textId="77777777" w:rsidR="00741AEB" w:rsidRDefault="00741AEB" w:rsidP="00741AEB"/>
    <w:p w14:paraId="209FCEEA" w14:textId="77777777" w:rsidR="000148CC" w:rsidRDefault="000148CC" w:rsidP="00741AEB"/>
    <w:p w14:paraId="2DD1AD38" w14:textId="77777777" w:rsidR="000148CC" w:rsidRDefault="000148CC" w:rsidP="00741AEB"/>
    <w:p w14:paraId="5FEEF863" w14:textId="77777777" w:rsidR="000148CC" w:rsidRDefault="000148CC" w:rsidP="00741AEB"/>
    <w:p w14:paraId="6DBBCCE6" w14:textId="77777777" w:rsidR="000148CC" w:rsidRDefault="000148CC" w:rsidP="00741AEB"/>
    <w:p w14:paraId="58B072B6" w14:textId="77777777" w:rsidR="000148CC" w:rsidRPr="006B1DE1" w:rsidRDefault="000148CC" w:rsidP="00741AE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5"/>
        <w:gridCol w:w="3333"/>
      </w:tblGrid>
      <w:tr w:rsidR="00741AEB" w:rsidRPr="006B1DE1" w14:paraId="6B85578A" w14:textId="77777777" w:rsidTr="00741AEB">
        <w:trPr>
          <w:trHeight w:val="965"/>
        </w:trPr>
        <w:tc>
          <w:tcPr>
            <w:tcW w:w="3025" w:type="pct"/>
            <w:tcBorders>
              <w:right w:val="nil"/>
            </w:tcBorders>
          </w:tcPr>
          <w:p w14:paraId="24922F27" w14:textId="77777777" w:rsidR="00741AEB" w:rsidRPr="006B1DE1" w:rsidRDefault="00741AEB" w:rsidP="00741AEB">
            <w:pPr>
              <w:pStyle w:val="Infotext"/>
              <w:rPr>
                <w:rFonts w:ascii="Arial Black" w:hAnsi="Arial Black"/>
              </w:rPr>
            </w:pPr>
          </w:p>
          <w:p w14:paraId="1727BE44" w14:textId="77777777" w:rsidR="00741AEB" w:rsidRPr="006B1DE1" w:rsidRDefault="00741AEB" w:rsidP="00741AEB">
            <w:pPr>
              <w:pStyle w:val="Infotext"/>
              <w:rPr>
                <w:rFonts w:ascii="Arial Black" w:hAnsi="Arial Black"/>
              </w:rPr>
            </w:pPr>
            <w:r w:rsidRPr="006B1DE1">
              <w:rPr>
                <w:rFonts w:ascii="Arial Black" w:hAnsi="Arial Black"/>
              </w:rPr>
              <w:t>Ward Councillors notified:</w:t>
            </w:r>
          </w:p>
          <w:p w14:paraId="6ABAFB09" w14:textId="77777777" w:rsidR="00741AEB" w:rsidRPr="006B1DE1" w:rsidRDefault="00741AEB" w:rsidP="00741AEB">
            <w:pPr>
              <w:pStyle w:val="Infotext"/>
              <w:rPr>
                <w:color w:val="FF0000"/>
              </w:rPr>
            </w:pPr>
          </w:p>
        </w:tc>
        <w:tc>
          <w:tcPr>
            <w:tcW w:w="1975" w:type="pct"/>
            <w:tcBorders>
              <w:left w:val="nil"/>
            </w:tcBorders>
          </w:tcPr>
          <w:p w14:paraId="223D7B49" w14:textId="77777777" w:rsidR="00741AEB" w:rsidRPr="006B1DE1" w:rsidRDefault="00741AEB" w:rsidP="00741AEB">
            <w:pPr>
              <w:pStyle w:val="Infotext"/>
            </w:pPr>
          </w:p>
          <w:p w14:paraId="392DC78A" w14:textId="77777777" w:rsidR="000148CC" w:rsidRDefault="00741AEB" w:rsidP="003B20DC">
            <w:pPr>
              <w:pStyle w:val="Infotext"/>
              <w:spacing w:before="120"/>
              <w:rPr>
                <w:i/>
                <w:sz w:val="24"/>
                <w:szCs w:val="24"/>
              </w:rPr>
            </w:pPr>
            <w:r w:rsidRPr="006B1DE1">
              <w:rPr>
                <w:b/>
              </w:rPr>
              <w:t>NO, as it impacts on all Wards</w:t>
            </w:r>
          </w:p>
          <w:p w14:paraId="77434A46" w14:textId="1FF81057" w:rsidR="00741AEB" w:rsidRPr="006B1DE1" w:rsidRDefault="00741AEB" w:rsidP="003B20DC">
            <w:pPr>
              <w:pStyle w:val="Infotext"/>
              <w:spacing w:before="120"/>
              <w:rPr>
                <w:i/>
                <w:sz w:val="24"/>
                <w:szCs w:val="24"/>
              </w:rPr>
            </w:pPr>
            <w:bookmarkStart w:id="2" w:name="_GoBack"/>
            <w:bookmarkEnd w:id="2"/>
          </w:p>
        </w:tc>
      </w:tr>
      <w:tr w:rsidR="00741AEB" w:rsidRPr="006B1DE1" w14:paraId="5A7748C7" w14:textId="77777777" w:rsidTr="00741AEB">
        <w:trPr>
          <w:trHeight w:val="965"/>
        </w:trPr>
        <w:tc>
          <w:tcPr>
            <w:tcW w:w="3025" w:type="pct"/>
            <w:tcBorders>
              <w:right w:val="nil"/>
            </w:tcBorders>
          </w:tcPr>
          <w:p w14:paraId="757C2990" w14:textId="77777777" w:rsidR="00741AEB" w:rsidRPr="006B1DE1" w:rsidRDefault="00741AEB" w:rsidP="00741AEB">
            <w:pPr>
              <w:pStyle w:val="Infotext"/>
              <w:rPr>
                <w:rFonts w:ascii="Arial Black" w:hAnsi="Arial Black"/>
                <w:color w:val="FF0000"/>
              </w:rPr>
            </w:pPr>
          </w:p>
          <w:p w14:paraId="375370D3" w14:textId="77777777" w:rsidR="00741AEB" w:rsidRPr="006B1DE1" w:rsidRDefault="00741AEB" w:rsidP="00741AEB">
            <w:pPr>
              <w:pStyle w:val="Infotext"/>
              <w:rPr>
                <w:rFonts w:ascii="Arial Black" w:hAnsi="Arial Black"/>
              </w:rPr>
            </w:pPr>
            <w:r w:rsidRPr="006B1DE1">
              <w:rPr>
                <w:rFonts w:ascii="Arial Black" w:hAnsi="Arial Black"/>
              </w:rPr>
              <w:t>EqIA carried out:</w:t>
            </w:r>
          </w:p>
          <w:p w14:paraId="2A4BA49B" w14:textId="77777777" w:rsidR="000148CC" w:rsidRDefault="000148CC" w:rsidP="00741AEB">
            <w:pPr>
              <w:pStyle w:val="Infotext"/>
              <w:rPr>
                <w:rFonts w:ascii="Arial Black" w:hAnsi="Arial Black"/>
              </w:rPr>
            </w:pPr>
          </w:p>
          <w:p w14:paraId="2CAC4E12" w14:textId="77777777" w:rsidR="00741AEB" w:rsidRPr="006B1DE1" w:rsidRDefault="00741AEB" w:rsidP="00741AEB">
            <w:pPr>
              <w:pStyle w:val="Infotext"/>
              <w:rPr>
                <w:rFonts w:ascii="Arial Black" w:hAnsi="Arial Black"/>
                <w:color w:val="FF0000"/>
              </w:rPr>
            </w:pPr>
            <w:r w:rsidRPr="006B1DE1">
              <w:rPr>
                <w:rFonts w:ascii="Arial Black" w:hAnsi="Arial Black"/>
              </w:rPr>
              <w:t>EqIA cleared by:</w:t>
            </w:r>
          </w:p>
        </w:tc>
        <w:tc>
          <w:tcPr>
            <w:tcW w:w="1975" w:type="pct"/>
            <w:tcBorders>
              <w:left w:val="nil"/>
            </w:tcBorders>
          </w:tcPr>
          <w:p w14:paraId="693BCD8C" w14:textId="77777777" w:rsidR="00741AEB" w:rsidRPr="006B1DE1" w:rsidRDefault="00741AEB" w:rsidP="00741AEB">
            <w:pPr>
              <w:pStyle w:val="Infotext"/>
              <w:rPr>
                <w:b/>
                <w:color w:val="FF0000"/>
              </w:rPr>
            </w:pPr>
          </w:p>
          <w:p w14:paraId="3A485720" w14:textId="20D574D7" w:rsidR="00741AEB" w:rsidRPr="006B1DE1" w:rsidRDefault="00741AEB" w:rsidP="00741AEB">
            <w:pPr>
              <w:pStyle w:val="Infotext"/>
              <w:rPr>
                <w:b/>
                <w:color w:val="FF0000"/>
              </w:rPr>
            </w:pPr>
            <w:r w:rsidRPr="006B1DE1">
              <w:rPr>
                <w:b/>
              </w:rPr>
              <w:t>NO</w:t>
            </w:r>
          </w:p>
          <w:p w14:paraId="37F00F6F" w14:textId="77777777" w:rsidR="003B20DC" w:rsidRDefault="003B20DC" w:rsidP="00741AEB">
            <w:pPr>
              <w:pStyle w:val="Infotext"/>
            </w:pPr>
          </w:p>
          <w:p w14:paraId="32F697E4" w14:textId="77777777" w:rsidR="000148CC" w:rsidRDefault="000148CC" w:rsidP="00741AEB">
            <w:pPr>
              <w:pStyle w:val="Infotext"/>
            </w:pPr>
          </w:p>
          <w:p w14:paraId="04434650" w14:textId="16B6FC9D" w:rsidR="00741AEB" w:rsidRPr="006B1DE1" w:rsidRDefault="00EB7D9E" w:rsidP="00741AEB">
            <w:pPr>
              <w:pStyle w:val="Infotext"/>
            </w:pPr>
            <w:r>
              <w:t>Not applicable</w:t>
            </w:r>
          </w:p>
          <w:p w14:paraId="23ED1CD1" w14:textId="77777777" w:rsidR="00741AEB" w:rsidRPr="006B1DE1" w:rsidRDefault="00741AEB" w:rsidP="00741AEB">
            <w:pPr>
              <w:pStyle w:val="Infotext"/>
              <w:rPr>
                <w:color w:val="FF0000"/>
              </w:rPr>
            </w:pPr>
          </w:p>
        </w:tc>
      </w:tr>
    </w:tbl>
    <w:p w14:paraId="2D2FE5BE" w14:textId="77777777" w:rsidR="00741AEB" w:rsidRPr="006B1DE1" w:rsidRDefault="00741AEB" w:rsidP="00741AEB"/>
    <w:p w14:paraId="4A0069E0" w14:textId="77777777" w:rsidR="00741AEB" w:rsidRPr="006B1DE1" w:rsidRDefault="00741AEB" w:rsidP="00741AEB">
      <w:pPr>
        <w:pStyle w:val="Heading1"/>
        <w:keepNext/>
      </w:pPr>
      <w:r w:rsidRPr="006B1DE1">
        <w:t xml:space="preserve">Section </w:t>
      </w:r>
      <w:r w:rsidR="008B25B2">
        <w:t>4</w:t>
      </w:r>
      <w:r w:rsidRPr="006B1DE1">
        <w:t xml:space="preserve"> - Contact Details and Background Papers</w:t>
      </w:r>
    </w:p>
    <w:p w14:paraId="1D9FE02C" w14:textId="77777777" w:rsidR="00741AEB" w:rsidRPr="006B1DE1" w:rsidRDefault="00741AEB" w:rsidP="00741AEB">
      <w:pPr>
        <w:keepNext/>
        <w:rPr>
          <w:rFonts w:cs="Arial"/>
        </w:rPr>
      </w:pPr>
    </w:p>
    <w:p w14:paraId="1967BB7F" w14:textId="0A97AB48" w:rsidR="008B25B2" w:rsidRPr="008B25B2" w:rsidRDefault="00741AEB" w:rsidP="008B25B2">
      <w:pPr>
        <w:pStyle w:val="Infotext"/>
        <w:rPr>
          <w:b/>
        </w:rPr>
      </w:pPr>
      <w:r w:rsidRPr="006B1DE1">
        <w:rPr>
          <w:b/>
        </w:rPr>
        <w:t xml:space="preserve">Contact:  </w:t>
      </w:r>
      <w:r w:rsidR="008B25B2">
        <w:t>Sharon Daniels</w:t>
      </w:r>
      <w:r w:rsidR="008B25B2" w:rsidRPr="009E22B0">
        <w:t xml:space="preserve"> (</w:t>
      </w:r>
      <w:hyperlink r:id="rId20" w:history="1">
        <w:r w:rsidR="008442CB" w:rsidRPr="00D70CEE">
          <w:rPr>
            <w:rStyle w:val="Hyperlink"/>
          </w:rPr>
          <w:t>sharon.daniels@harrow.gov.uk</w:t>
        </w:r>
      </w:hyperlink>
      <w:r w:rsidR="008B25B2" w:rsidRPr="009E22B0">
        <w:t xml:space="preserve">), </w:t>
      </w:r>
      <w:r w:rsidR="00337B3A">
        <w:t xml:space="preserve">Deputy </w:t>
      </w:r>
      <w:r w:rsidR="000148CC">
        <w:t>S</w:t>
      </w:r>
      <w:r w:rsidR="00337B3A">
        <w:t>ec</w:t>
      </w:r>
      <w:r w:rsidR="000148CC">
        <w:t>tion</w:t>
      </w:r>
      <w:r w:rsidR="00337B3A">
        <w:t>151 officer Tel: 020 8424 1332</w:t>
      </w:r>
      <w:r w:rsidR="008B25B2" w:rsidRPr="009E22B0">
        <w:t xml:space="preserve"> </w:t>
      </w:r>
    </w:p>
    <w:p w14:paraId="3BB6CF20" w14:textId="77777777" w:rsidR="0079338C" w:rsidRPr="006B1DE1" w:rsidRDefault="0079338C" w:rsidP="00741AEB"/>
    <w:p w14:paraId="464D05AB" w14:textId="061DFF68" w:rsidR="00BB750C" w:rsidRDefault="00741AEB" w:rsidP="008B25B2">
      <w:pPr>
        <w:pStyle w:val="Infotext"/>
        <w:rPr>
          <w:rStyle w:val="Hyperlink"/>
          <w:b/>
        </w:rPr>
      </w:pPr>
      <w:r w:rsidRPr="006B1DE1">
        <w:rPr>
          <w:b/>
        </w:rPr>
        <w:t>Background Papers:</w:t>
      </w:r>
      <w:r w:rsidR="00BB750C">
        <w:rPr>
          <w:b/>
        </w:rPr>
        <w:t xml:space="preserve"> </w:t>
      </w:r>
      <w:hyperlink r:id="rId21" w:history="1">
        <w:r w:rsidR="00BB750C" w:rsidRPr="00BB750C">
          <w:rPr>
            <w:rStyle w:val="Hyperlink"/>
            <w:b/>
          </w:rPr>
          <w:t>..\..\..\..\BUDGET\Budget 2017-18\February Cabinet\Final report\Final Report Appendices for Daksha\V4 Final Budget Report 070217.doc</w:t>
        </w:r>
      </w:hyperlink>
    </w:p>
    <w:p w14:paraId="530AEAE0" w14:textId="3CB24700" w:rsidR="003F5E2F" w:rsidRDefault="000148CC" w:rsidP="008B25B2">
      <w:pPr>
        <w:pStyle w:val="Infotext"/>
        <w:rPr>
          <w:b/>
        </w:rPr>
      </w:pPr>
      <w:hyperlink r:id="rId22" w:history="1">
        <w:r w:rsidR="003F5E2F" w:rsidRPr="003F5E2F">
          <w:rPr>
            <w:rStyle w:val="Hyperlink"/>
            <w:b/>
          </w:rPr>
          <w:t>G:\1 Public\Capital programme\2017-18 to 2019-20\February Cabinet\Final February Cabinet\Final version Capital Programme Feb 2017 Cabinet.docx</w:t>
        </w:r>
      </w:hyperlink>
    </w:p>
    <w:p w14:paraId="5599F22A" w14:textId="7E93CFD1" w:rsidR="003F5E2F" w:rsidRDefault="000148CC" w:rsidP="008B25B2">
      <w:pPr>
        <w:pStyle w:val="Infotext"/>
        <w:rPr>
          <w:b/>
        </w:rPr>
      </w:pPr>
      <w:hyperlink r:id="rId23" w:history="1">
        <w:r w:rsidR="003F5E2F" w:rsidRPr="003F5E2F">
          <w:rPr>
            <w:rStyle w:val="Hyperlink"/>
            <w:b/>
          </w:rPr>
          <w:t>G:\1 Public\Capital programme\2017-18 to 2019-20\February Cabinet\Final February Cabinet\Appendix 1 - 16.17 Capital Programme  restated V4 18.01.17.xlsx</w:t>
        </w:r>
      </w:hyperlink>
    </w:p>
    <w:p w14:paraId="5827CCFF" w14:textId="42BF2B3C" w:rsidR="00741AEB" w:rsidRPr="006B1DE1" w:rsidRDefault="00741AEB" w:rsidP="008B25B2">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9"/>
        <w:gridCol w:w="542"/>
        <w:gridCol w:w="4167"/>
      </w:tblGrid>
      <w:tr w:rsidR="00741AEB" w:rsidRPr="006B1DE1" w14:paraId="5A9BCF13" w14:textId="77777777" w:rsidTr="00741AEB">
        <w:trPr>
          <w:trHeight w:val="965"/>
        </w:trPr>
        <w:tc>
          <w:tcPr>
            <w:tcW w:w="2210" w:type="pct"/>
            <w:tcBorders>
              <w:right w:val="nil"/>
            </w:tcBorders>
          </w:tcPr>
          <w:p w14:paraId="61EC27B1" w14:textId="77777777" w:rsidR="00741AEB" w:rsidRPr="006B1DE1" w:rsidRDefault="00741AEB" w:rsidP="00741AEB">
            <w:pPr>
              <w:pStyle w:val="Infotext"/>
            </w:pPr>
          </w:p>
          <w:p w14:paraId="042DA456" w14:textId="77777777" w:rsidR="00741AEB" w:rsidRDefault="00741AEB">
            <w:pPr>
              <w:pStyle w:val="Infotext"/>
              <w:rPr>
                <w:rFonts w:ascii="Arial Black" w:hAnsi="Arial Black"/>
              </w:rPr>
            </w:pPr>
            <w:r w:rsidRPr="006B1DE1">
              <w:rPr>
                <w:rFonts w:ascii="Arial Black" w:hAnsi="Arial Black"/>
              </w:rPr>
              <w:t>Call-In Waived by the Chairman of Overview and Scrutiny Committee</w:t>
            </w:r>
          </w:p>
          <w:p w14:paraId="3BBB9F85" w14:textId="77777777" w:rsidR="000148CC" w:rsidRPr="006B1DE1" w:rsidRDefault="000148CC">
            <w:pPr>
              <w:pStyle w:val="Infotext"/>
            </w:pPr>
          </w:p>
        </w:tc>
        <w:tc>
          <w:tcPr>
            <w:tcW w:w="321" w:type="pct"/>
            <w:tcBorders>
              <w:left w:val="nil"/>
              <w:right w:val="nil"/>
            </w:tcBorders>
          </w:tcPr>
          <w:p w14:paraId="27E39293" w14:textId="77777777" w:rsidR="00741AEB" w:rsidRPr="006B1DE1" w:rsidRDefault="00741AEB" w:rsidP="00741AEB">
            <w:pPr>
              <w:pStyle w:val="Infotext"/>
            </w:pPr>
          </w:p>
        </w:tc>
        <w:tc>
          <w:tcPr>
            <w:tcW w:w="2469" w:type="pct"/>
            <w:tcBorders>
              <w:left w:val="nil"/>
            </w:tcBorders>
          </w:tcPr>
          <w:p w14:paraId="607AE266" w14:textId="77777777" w:rsidR="00741AEB" w:rsidRPr="006B1DE1" w:rsidRDefault="00741AEB" w:rsidP="00741AEB">
            <w:pPr>
              <w:pStyle w:val="Infotext"/>
            </w:pPr>
          </w:p>
          <w:p w14:paraId="654C4A74" w14:textId="77777777" w:rsidR="00741AEB" w:rsidRPr="006B1DE1" w:rsidRDefault="00741AEB" w:rsidP="00741AEB">
            <w:pPr>
              <w:pStyle w:val="Infotext"/>
            </w:pPr>
            <w:r w:rsidRPr="006B1DE1">
              <w:rPr>
                <w:b/>
              </w:rPr>
              <w:t>NOT APPLICABLE</w:t>
            </w:r>
          </w:p>
          <w:p w14:paraId="3AD13775" w14:textId="77777777" w:rsidR="00741AEB" w:rsidRPr="006B1DE1" w:rsidRDefault="00741AEB" w:rsidP="00741AEB">
            <w:pPr>
              <w:pStyle w:val="Infotext"/>
            </w:pPr>
          </w:p>
          <w:p w14:paraId="07494BE3" w14:textId="77777777" w:rsidR="00741AEB" w:rsidRPr="000148CC" w:rsidRDefault="00741AEB" w:rsidP="00741AEB">
            <w:pPr>
              <w:pStyle w:val="Infotext"/>
              <w:rPr>
                <w:i/>
              </w:rPr>
            </w:pPr>
            <w:r w:rsidRPr="000148CC">
              <w:rPr>
                <w:i/>
              </w:rPr>
              <w:t>[Call-in applies]</w:t>
            </w:r>
          </w:p>
          <w:p w14:paraId="21F108C7" w14:textId="77777777" w:rsidR="00741AEB" w:rsidRPr="006B1DE1" w:rsidRDefault="00741AEB" w:rsidP="00741AEB">
            <w:pPr>
              <w:pStyle w:val="Infotext"/>
            </w:pPr>
          </w:p>
          <w:p w14:paraId="36EA6E72" w14:textId="77777777" w:rsidR="00741AEB" w:rsidRPr="006B1DE1" w:rsidRDefault="00741AEB" w:rsidP="00741AEB">
            <w:pPr>
              <w:pStyle w:val="Infotext"/>
              <w:ind w:left="173"/>
              <w:rPr>
                <w:i/>
                <w:sz w:val="24"/>
                <w:szCs w:val="24"/>
              </w:rPr>
            </w:pPr>
          </w:p>
        </w:tc>
      </w:tr>
    </w:tbl>
    <w:p w14:paraId="5F34CE36" w14:textId="04100665" w:rsidR="00A87D50" w:rsidRPr="006B1DE1" w:rsidRDefault="00500764" w:rsidP="00222641">
      <w:pPr>
        <w:rPr>
          <w:b/>
        </w:rPr>
      </w:pPr>
      <w:r w:rsidRPr="00CB1B58">
        <w:rPr>
          <w:b/>
          <w:sz w:val="20"/>
        </w:rPr>
        <w:lastRenderedPageBreak/>
        <w:t>Revenue Summary</w:t>
      </w: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sidR="00C8529F">
        <w:rPr>
          <w:b/>
          <w:szCs w:val="24"/>
        </w:rPr>
        <w:t xml:space="preserve">                 </w:t>
      </w:r>
      <w:r w:rsidR="00B93242" w:rsidRPr="00CB1B58">
        <w:rPr>
          <w:b/>
          <w:sz w:val="20"/>
        </w:rPr>
        <w:t>Appendix 1</w:t>
      </w:r>
      <w:r w:rsidR="005105B4" w:rsidRPr="005105B4">
        <w:rPr>
          <w:noProof/>
          <w:lang w:eastAsia="en-GB"/>
        </w:rPr>
        <w:drawing>
          <wp:inline distT="0" distB="0" distL="0" distR="0" wp14:anchorId="7BEE460E" wp14:editId="52174714">
            <wp:extent cx="5222190" cy="8622323"/>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20970" cy="8620309"/>
                    </a:xfrm>
                    <a:prstGeom prst="rect">
                      <a:avLst/>
                    </a:prstGeom>
                    <a:noFill/>
                    <a:ln>
                      <a:noFill/>
                    </a:ln>
                  </pic:spPr>
                </pic:pic>
              </a:graphicData>
            </a:graphic>
          </wp:inline>
        </w:drawing>
      </w:r>
      <w:r w:rsidR="002310F3">
        <w:rPr>
          <w:b/>
          <w:szCs w:val="24"/>
        </w:rPr>
        <w:tab/>
      </w:r>
      <w:r w:rsidR="002310F3">
        <w:rPr>
          <w:b/>
          <w:szCs w:val="24"/>
        </w:rPr>
        <w:tab/>
      </w:r>
      <w:r w:rsidR="002310F3">
        <w:rPr>
          <w:b/>
          <w:szCs w:val="24"/>
        </w:rPr>
        <w:tab/>
      </w:r>
      <w:r w:rsidR="002310F3">
        <w:rPr>
          <w:b/>
          <w:szCs w:val="24"/>
        </w:rPr>
        <w:tab/>
      </w:r>
    </w:p>
    <w:sectPr w:rsidR="00A87D50" w:rsidRPr="006B1DE1" w:rsidSect="00CB1B58">
      <w:headerReference w:type="even" r:id="rId25"/>
      <w:headerReference w:type="default" r:id="rId26"/>
      <w:footerReference w:type="default" r:id="rId27"/>
      <w:headerReference w:type="first" r:id="rId28"/>
      <w:pgSz w:w="11909" w:h="16834" w:code="9"/>
      <w:pgMar w:top="720" w:right="1986" w:bottom="1152" w:left="1701"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5B3A4" w14:textId="77777777" w:rsidR="000C69EC" w:rsidRDefault="000C69EC">
      <w:r>
        <w:separator/>
      </w:r>
    </w:p>
  </w:endnote>
  <w:endnote w:type="continuationSeparator" w:id="0">
    <w:p w14:paraId="65F1EDD1" w14:textId="77777777" w:rsidR="000C69EC" w:rsidRDefault="000C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758730"/>
      <w:docPartObj>
        <w:docPartGallery w:val="Page Numbers (Bottom of Page)"/>
        <w:docPartUnique/>
      </w:docPartObj>
    </w:sdtPr>
    <w:sdtEndPr>
      <w:rPr>
        <w:noProof/>
      </w:rPr>
    </w:sdtEndPr>
    <w:sdtContent>
      <w:p w14:paraId="00E5DD14" w14:textId="77777777" w:rsidR="000C69EC" w:rsidRDefault="000C69EC">
        <w:pPr>
          <w:pStyle w:val="Footer"/>
          <w:jc w:val="center"/>
        </w:pPr>
        <w:r>
          <w:fldChar w:fldCharType="begin"/>
        </w:r>
        <w:r>
          <w:instrText xml:space="preserve"> PAGE   \* MERGEFORMAT </w:instrText>
        </w:r>
        <w:r>
          <w:fldChar w:fldCharType="separate"/>
        </w:r>
        <w:r w:rsidR="000148CC">
          <w:rPr>
            <w:noProof/>
          </w:rPr>
          <w:t>25</w:t>
        </w:r>
        <w:r>
          <w:rPr>
            <w:noProof/>
          </w:rPr>
          <w:fldChar w:fldCharType="end"/>
        </w:r>
      </w:p>
    </w:sdtContent>
  </w:sdt>
  <w:p w14:paraId="0D5EFBE5" w14:textId="77777777" w:rsidR="000C69EC" w:rsidRDefault="000C6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4DC52" w14:textId="77777777" w:rsidR="000C69EC" w:rsidRDefault="000C69EC">
      <w:r>
        <w:separator/>
      </w:r>
    </w:p>
  </w:footnote>
  <w:footnote w:type="continuationSeparator" w:id="0">
    <w:p w14:paraId="6A14ED1B" w14:textId="77777777" w:rsidR="000C69EC" w:rsidRDefault="000C6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FDEA5" w14:textId="1B06DA55" w:rsidR="000C69EC" w:rsidRDefault="000C6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70E64" w14:textId="70F2B935" w:rsidR="000C69EC" w:rsidRDefault="000C6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D8FE7" w14:textId="1F5F031B" w:rsidR="000C69EC" w:rsidRDefault="000C6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0D4"/>
    <w:multiLevelType w:val="hybridMultilevel"/>
    <w:tmpl w:val="A118AD0E"/>
    <w:lvl w:ilvl="0" w:tplc="37344528">
      <w:start w:val="7"/>
      <w:numFmt w:val="decimal"/>
      <w:lvlText w:val="3.%1"/>
      <w:lvlJc w:val="left"/>
      <w:pPr>
        <w:ind w:left="928"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FF521D"/>
    <w:multiLevelType w:val="multilevel"/>
    <w:tmpl w:val="780A9946"/>
    <w:lvl w:ilvl="0">
      <w:start w:val="2"/>
      <w:numFmt w:val="decimal"/>
      <w:lvlText w:val="%1"/>
      <w:lvlJc w:val="left"/>
      <w:pPr>
        <w:ind w:left="465" w:hanging="465"/>
      </w:pPr>
      <w:rPr>
        <w:rFonts w:hint="default"/>
        <w:b/>
      </w:rPr>
    </w:lvl>
    <w:lvl w:ilvl="1">
      <w:start w:val="29"/>
      <w:numFmt w:val="decimal"/>
      <w:lvlText w:val="%1.31"/>
      <w:lvlJc w:val="left"/>
      <w:pPr>
        <w:ind w:left="749" w:hanging="465"/>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2">
    <w:nsid w:val="01000389"/>
    <w:multiLevelType w:val="hybridMultilevel"/>
    <w:tmpl w:val="293EA218"/>
    <w:lvl w:ilvl="0" w:tplc="5CC6B41A">
      <w:start w:val="9"/>
      <w:numFmt w:val="decimal"/>
      <w:lvlText w:val="2.6%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7900F0"/>
    <w:multiLevelType w:val="hybridMultilevel"/>
    <w:tmpl w:val="795C2A2C"/>
    <w:lvl w:ilvl="0" w:tplc="0B80B0D6">
      <w:start w:val="7"/>
      <w:numFmt w:val="decimal"/>
      <w:lvlText w:val="3.%1"/>
      <w:lvlJc w:val="left"/>
      <w:pPr>
        <w:ind w:left="1495"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2E004A4"/>
    <w:multiLevelType w:val="hybridMultilevel"/>
    <w:tmpl w:val="48CE5584"/>
    <w:lvl w:ilvl="0" w:tplc="429008E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45674CF"/>
    <w:multiLevelType w:val="hybridMultilevel"/>
    <w:tmpl w:val="E1F04530"/>
    <w:lvl w:ilvl="0" w:tplc="79BCC65A">
      <w:numFmt w:val="decimal"/>
      <w:lvlText w:val="2.4%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4BD024F"/>
    <w:multiLevelType w:val="multilevel"/>
    <w:tmpl w:val="1F822C1C"/>
    <w:lvl w:ilvl="0">
      <w:start w:val="1"/>
      <w:numFmt w:val="decimal"/>
      <w:lvlText w:val="%1"/>
      <w:lvlJc w:val="left"/>
      <w:pPr>
        <w:ind w:left="360" w:hanging="360"/>
      </w:pPr>
      <w:rPr>
        <w:rFonts w:hint="default"/>
      </w:rPr>
    </w:lvl>
    <w:lvl w:ilvl="1">
      <w:start w:val="1"/>
      <w:numFmt w:val="decimal"/>
      <w:lvlText w:val="%2.0"/>
      <w:lvlJc w:val="left"/>
      <w:pPr>
        <w:ind w:left="360" w:hanging="360"/>
      </w:pPr>
      <w:rPr>
        <w:rFonts w:hint="default"/>
      </w:rPr>
    </w:lvl>
    <w:lvl w:ilvl="2">
      <w:start w:val="1"/>
      <w:numFmt w:val="none"/>
      <w:lvlText w:val="1.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4DD4288"/>
    <w:multiLevelType w:val="multilevel"/>
    <w:tmpl w:val="0A083370"/>
    <w:lvl w:ilvl="0">
      <w:start w:val="1"/>
      <w:numFmt w:val="decimal"/>
      <w:lvlText w:val="%1.1"/>
      <w:lvlJc w:val="left"/>
      <w:pPr>
        <w:ind w:left="786" w:hanging="360"/>
      </w:pPr>
      <w:rPr>
        <w:rFonts w:hint="default"/>
      </w:rPr>
    </w:lvl>
    <w:lvl w:ilvl="1">
      <w:start w:val="1"/>
      <w:numFmt w:val="none"/>
      <w:lvlText w:val="2.1"/>
      <w:lvlJc w:val="left"/>
      <w:pPr>
        <w:ind w:left="360" w:hanging="360"/>
      </w:pPr>
      <w:rPr>
        <w:rFonts w:hint="default"/>
      </w:rPr>
    </w:lvl>
    <w:lvl w:ilvl="2">
      <w:start w:val="2"/>
      <w:numFmt w:val="decimal"/>
      <w:lvlText w:val="%3.0"/>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67C7931"/>
    <w:multiLevelType w:val="hybridMultilevel"/>
    <w:tmpl w:val="6D6065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075038BF"/>
    <w:multiLevelType w:val="hybridMultilevel"/>
    <w:tmpl w:val="2F903504"/>
    <w:lvl w:ilvl="0" w:tplc="37344528">
      <w:start w:val="7"/>
      <w:numFmt w:val="decimal"/>
      <w:lvlText w:val="3.%1"/>
      <w:lvlJc w:val="left"/>
      <w:pPr>
        <w:ind w:left="928"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8CE790C"/>
    <w:multiLevelType w:val="multilevel"/>
    <w:tmpl w:val="7A128866"/>
    <w:lvl w:ilvl="0">
      <w:start w:val="2"/>
      <w:numFmt w:val="decimal"/>
      <w:lvlText w:val="%1.0"/>
      <w:lvlJc w:val="left"/>
      <w:pPr>
        <w:ind w:left="405" w:hanging="405"/>
      </w:pPr>
      <w:rPr>
        <w:rFonts w:hint="default"/>
        <w:b/>
      </w:rPr>
    </w:lvl>
    <w:lvl w:ilvl="1">
      <w:start w:val="1"/>
      <w:numFmt w:val="decimal"/>
      <w:lvlText w:val="4.%2"/>
      <w:lvlJc w:val="left"/>
      <w:pPr>
        <w:ind w:left="689"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09A23640"/>
    <w:multiLevelType w:val="hybridMultilevel"/>
    <w:tmpl w:val="CA3A952E"/>
    <w:lvl w:ilvl="0" w:tplc="AE28B822">
      <w:start w:val="1"/>
      <w:numFmt w:val="decimal"/>
      <w:lvlText w:val="2.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546611"/>
    <w:multiLevelType w:val="hybridMultilevel"/>
    <w:tmpl w:val="113A34A4"/>
    <w:lvl w:ilvl="0" w:tplc="AE28B822">
      <w:start w:val="1"/>
      <w:numFmt w:val="decimal"/>
      <w:lvlText w:val="2.3%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ACC757C"/>
    <w:multiLevelType w:val="hybridMultilevel"/>
    <w:tmpl w:val="79D0C73C"/>
    <w:lvl w:ilvl="0" w:tplc="66C4F04E">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D659EE"/>
    <w:multiLevelType w:val="hybridMultilevel"/>
    <w:tmpl w:val="9E1E5938"/>
    <w:lvl w:ilvl="0" w:tplc="FE304298">
      <w:numFmt w:val="decimal"/>
      <w:lvlText w:val="2.5%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D66AB4"/>
    <w:multiLevelType w:val="multilevel"/>
    <w:tmpl w:val="0BDA139E"/>
    <w:lvl w:ilvl="0">
      <w:start w:val="1"/>
      <w:numFmt w:val="none"/>
      <w:lvlText w:val="1.1"/>
      <w:lvlJc w:val="left"/>
      <w:pPr>
        <w:ind w:left="360" w:hanging="360"/>
      </w:pPr>
      <w:rPr>
        <w:rFonts w:hint="default"/>
      </w:rPr>
    </w:lvl>
    <w:lvl w:ilvl="1">
      <w:start w:val="1"/>
      <w:numFmt w:val="none"/>
      <w:lvlText w:val="2.1"/>
      <w:lvlJc w:val="left"/>
      <w:pPr>
        <w:ind w:left="360" w:hanging="360"/>
      </w:pPr>
      <w:rPr>
        <w:rFonts w:hint="default"/>
      </w:rPr>
    </w:lvl>
    <w:lvl w:ilvl="2">
      <w:start w:val="1"/>
      <w:numFmt w:val="none"/>
      <w:lvlText w:val="1.2"/>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0D907F0D"/>
    <w:multiLevelType w:val="multilevel"/>
    <w:tmpl w:val="EE2251D6"/>
    <w:lvl w:ilvl="0">
      <w:start w:val="2"/>
      <w:numFmt w:val="decimal"/>
      <w:lvlText w:val="%1"/>
      <w:lvlJc w:val="left"/>
      <w:pPr>
        <w:ind w:left="465" w:hanging="465"/>
      </w:pPr>
      <w:rPr>
        <w:rFonts w:hint="default"/>
      </w:rPr>
    </w:lvl>
    <w:lvl w:ilvl="1">
      <w:numFmt w:val="none"/>
      <w:lvlText w:val="2.21"/>
      <w:lvlJc w:val="center"/>
      <w:pPr>
        <w:ind w:left="891" w:hanging="46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7">
    <w:nsid w:val="0D95323F"/>
    <w:multiLevelType w:val="hybridMultilevel"/>
    <w:tmpl w:val="93406396"/>
    <w:lvl w:ilvl="0" w:tplc="AE28B822">
      <w:start w:val="1"/>
      <w:numFmt w:val="decimal"/>
      <w:lvlText w:val="2.3%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DE66196"/>
    <w:multiLevelType w:val="hybridMultilevel"/>
    <w:tmpl w:val="7324C4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0E450D37"/>
    <w:multiLevelType w:val="multilevel"/>
    <w:tmpl w:val="3E46951E"/>
    <w:lvl w:ilvl="0">
      <w:start w:val="2"/>
      <w:numFmt w:val="decimal"/>
      <w:lvlText w:val="%1.0"/>
      <w:lvlJc w:val="left"/>
      <w:pPr>
        <w:ind w:left="405" w:hanging="405"/>
      </w:pPr>
      <w:rPr>
        <w:rFonts w:hint="default"/>
        <w:b/>
      </w:rPr>
    </w:lvl>
    <w:lvl w:ilvl="1">
      <w:start w:val="1"/>
      <w:numFmt w:val="decimal"/>
      <w:lvlText w:val="2.%20"/>
      <w:lvlJc w:val="left"/>
      <w:pPr>
        <w:ind w:left="624" w:hanging="198"/>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0EAB777E"/>
    <w:multiLevelType w:val="hybridMultilevel"/>
    <w:tmpl w:val="E1A895D2"/>
    <w:lvl w:ilvl="0" w:tplc="2DF0D64E">
      <w:start w:val="8"/>
      <w:numFmt w:val="decimal"/>
      <w:lvlText w:val="2.7%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0ED52E60"/>
    <w:multiLevelType w:val="multilevel"/>
    <w:tmpl w:val="93721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0ED5333A"/>
    <w:multiLevelType w:val="hybridMultilevel"/>
    <w:tmpl w:val="A0CE87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1061065E"/>
    <w:multiLevelType w:val="hybridMultilevel"/>
    <w:tmpl w:val="B7E09D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12BF5BA7"/>
    <w:multiLevelType w:val="hybridMultilevel"/>
    <w:tmpl w:val="B6CAEB56"/>
    <w:lvl w:ilvl="0" w:tplc="F3DCC804">
      <w:numFmt w:val="decimal"/>
      <w:lvlText w:val="2.7%1"/>
      <w:lvlJc w:val="center"/>
      <w:pPr>
        <w:ind w:left="144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7EB55F0"/>
    <w:multiLevelType w:val="hybridMultilevel"/>
    <w:tmpl w:val="8D9AD2AC"/>
    <w:lvl w:ilvl="0" w:tplc="914697BC">
      <w:start w:val="2"/>
      <w:numFmt w:val="decimal"/>
      <w:lvlText w:val="2.7%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88D132B"/>
    <w:multiLevelType w:val="hybridMultilevel"/>
    <w:tmpl w:val="573AD0A8"/>
    <w:lvl w:ilvl="0" w:tplc="3FAE4F3E">
      <w:start w:val="1"/>
      <w:numFmt w:val="decimal"/>
      <w:lvlText w:val="2.2%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8C02EFD"/>
    <w:multiLevelType w:val="hybridMultilevel"/>
    <w:tmpl w:val="1F44B88E"/>
    <w:lvl w:ilvl="0" w:tplc="C366B5E8">
      <w:start w:val="1"/>
      <w:numFmt w:val="decimal"/>
      <w:lvlText w:val="2.5%1"/>
      <w:lvlJc w:val="center"/>
      <w:pPr>
        <w:ind w:left="164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92017C2"/>
    <w:multiLevelType w:val="multilevel"/>
    <w:tmpl w:val="7D86ED0E"/>
    <w:lvl w:ilvl="0">
      <w:start w:val="2"/>
      <w:numFmt w:val="decimal"/>
      <w:lvlText w:val="%1"/>
      <w:lvlJc w:val="left"/>
      <w:pPr>
        <w:ind w:left="465" w:hanging="465"/>
      </w:pPr>
      <w:rPr>
        <w:rFonts w:hint="default"/>
      </w:rPr>
    </w:lvl>
    <w:lvl w:ilvl="1">
      <w:start w:val="8"/>
      <w:numFmt w:val="decimal"/>
      <w:lvlText w:val="2.1%2"/>
      <w:lvlJc w:val="center"/>
      <w:pPr>
        <w:ind w:left="749" w:hanging="46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29">
    <w:nsid w:val="1A3339BB"/>
    <w:multiLevelType w:val="hybridMultilevel"/>
    <w:tmpl w:val="D346C9DE"/>
    <w:lvl w:ilvl="0" w:tplc="3FAE4F3E">
      <w:start w:val="1"/>
      <w:numFmt w:val="decimal"/>
      <w:lvlText w:val="2.2%1"/>
      <w:lvlJc w:val="left"/>
      <w:pPr>
        <w:ind w:left="882" w:hanging="360"/>
      </w:pPr>
      <w:rPr>
        <w:rFonts w:hint="default"/>
      </w:rPr>
    </w:lvl>
    <w:lvl w:ilvl="1" w:tplc="08090019" w:tentative="1">
      <w:start w:val="1"/>
      <w:numFmt w:val="lowerLetter"/>
      <w:lvlText w:val="%2."/>
      <w:lvlJc w:val="left"/>
      <w:pPr>
        <w:ind w:left="1602" w:hanging="360"/>
      </w:pPr>
    </w:lvl>
    <w:lvl w:ilvl="2" w:tplc="0809001B" w:tentative="1">
      <w:start w:val="1"/>
      <w:numFmt w:val="lowerRoman"/>
      <w:lvlText w:val="%3."/>
      <w:lvlJc w:val="right"/>
      <w:pPr>
        <w:ind w:left="2322" w:hanging="180"/>
      </w:pPr>
    </w:lvl>
    <w:lvl w:ilvl="3" w:tplc="0809000F" w:tentative="1">
      <w:start w:val="1"/>
      <w:numFmt w:val="decimal"/>
      <w:lvlText w:val="%4."/>
      <w:lvlJc w:val="left"/>
      <w:pPr>
        <w:ind w:left="3042" w:hanging="360"/>
      </w:pPr>
    </w:lvl>
    <w:lvl w:ilvl="4" w:tplc="08090019" w:tentative="1">
      <w:start w:val="1"/>
      <w:numFmt w:val="lowerLetter"/>
      <w:lvlText w:val="%5."/>
      <w:lvlJc w:val="left"/>
      <w:pPr>
        <w:ind w:left="3762" w:hanging="360"/>
      </w:pPr>
    </w:lvl>
    <w:lvl w:ilvl="5" w:tplc="0809001B" w:tentative="1">
      <w:start w:val="1"/>
      <w:numFmt w:val="lowerRoman"/>
      <w:lvlText w:val="%6."/>
      <w:lvlJc w:val="right"/>
      <w:pPr>
        <w:ind w:left="4482" w:hanging="180"/>
      </w:pPr>
    </w:lvl>
    <w:lvl w:ilvl="6" w:tplc="0809000F" w:tentative="1">
      <w:start w:val="1"/>
      <w:numFmt w:val="decimal"/>
      <w:lvlText w:val="%7."/>
      <w:lvlJc w:val="left"/>
      <w:pPr>
        <w:ind w:left="5202" w:hanging="360"/>
      </w:pPr>
    </w:lvl>
    <w:lvl w:ilvl="7" w:tplc="08090019" w:tentative="1">
      <w:start w:val="1"/>
      <w:numFmt w:val="lowerLetter"/>
      <w:lvlText w:val="%8."/>
      <w:lvlJc w:val="left"/>
      <w:pPr>
        <w:ind w:left="5922" w:hanging="360"/>
      </w:pPr>
    </w:lvl>
    <w:lvl w:ilvl="8" w:tplc="0809001B" w:tentative="1">
      <w:start w:val="1"/>
      <w:numFmt w:val="lowerRoman"/>
      <w:lvlText w:val="%9."/>
      <w:lvlJc w:val="right"/>
      <w:pPr>
        <w:ind w:left="6642" w:hanging="180"/>
      </w:pPr>
    </w:lvl>
  </w:abstractNum>
  <w:abstractNum w:abstractNumId="30">
    <w:nsid w:val="1AD63AE0"/>
    <w:multiLevelType w:val="hybridMultilevel"/>
    <w:tmpl w:val="C720A3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1C202E04"/>
    <w:multiLevelType w:val="multilevel"/>
    <w:tmpl w:val="9830F07E"/>
    <w:lvl w:ilvl="0">
      <w:start w:val="2"/>
      <w:numFmt w:val="decimal"/>
      <w:lvlText w:val="%1.5"/>
      <w:lvlJc w:val="left"/>
      <w:pPr>
        <w:ind w:left="405" w:hanging="405"/>
      </w:pPr>
      <w:rPr>
        <w:rFonts w:hint="default"/>
        <w:b/>
      </w:rPr>
    </w:lvl>
    <w:lvl w:ilvl="1">
      <w:start w:val="9"/>
      <w:numFmt w:val="decimal"/>
      <w:lvlText w:val="2.4%2"/>
      <w:lvlJc w:val="center"/>
      <w:pPr>
        <w:ind w:left="689"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1C7440D4"/>
    <w:multiLevelType w:val="multilevel"/>
    <w:tmpl w:val="9D4AADB2"/>
    <w:lvl w:ilvl="0">
      <w:start w:val="2"/>
      <w:numFmt w:val="decimal"/>
      <w:lvlText w:val="%1"/>
      <w:lvlJc w:val="left"/>
      <w:pPr>
        <w:ind w:left="465" w:hanging="465"/>
      </w:pPr>
      <w:rPr>
        <w:rFonts w:hint="default"/>
      </w:rPr>
    </w:lvl>
    <w:lvl w:ilvl="1">
      <w:start w:val="1"/>
      <w:numFmt w:val="decimal"/>
      <w:lvlText w:val="2.5%2"/>
      <w:lvlJc w:val="center"/>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1E11315D"/>
    <w:multiLevelType w:val="hybridMultilevel"/>
    <w:tmpl w:val="FA346290"/>
    <w:lvl w:ilvl="0" w:tplc="0F5810FC">
      <w:start w:val="5"/>
      <w:numFmt w:val="decimal"/>
      <w:lvlText w:val="2.2%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1EEB4A38"/>
    <w:multiLevelType w:val="hybridMultilevel"/>
    <w:tmpl w:val="05E0BC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5">
    <w:nsid w:val="20330A09"/>
    <w:multiLevelType w:val="multilevel"/>
    <w:tmpl w:val="755CCD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212C4795"/>
    <w:multiLevelType w:val="multilevel"/>
    <w:tmpl w:val="F9CA4180"/>
    <w:lvl w:ilvl="0">
      <w:start w:val="2"/>
      <w:numFmt w:val="decimal"/>
      <w:lvlText w:val="%1"/>
      <w:lvlJc w:val="left"/>
      <w:pPr>
        <w:ind w:left="465" w:hanging="465"/>
      </w:pPr>
      <w:rPr>
        <w:rFonts w:hint="default"/>
      </w:rPr>
    </w:lvl>
    <w:lvl w:ilvl="1">
      <w:start w:val="9"/>
      <w:numFmt w:val="decimal"/>
      <w:lvlText w:val="2.1%2"/>
      <w:lvlJc w:val="center"/>
      <w:pPr>
        <w:ind w:left="749" w:hanging="46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37">
    <w:nsid w:val="21852EE4"/>
    <w:multiLevelType w:val="hybridMultilevel"/>
    <w:tmpl w:val="C9E4BF78"/>
    <w:lvl w:ilvl="0" w:tplc="D2EA00CC">
      <w:start w:val="5"/>
      <w:numFmt w:val="decimal"/>
      <w:lvlText w:val="%1.1"/>
      <w:lvlJc w:val="left"/>
      <w:pPr>
        <w:ind w:left="502" w:hanging="360"/>
      </w:pPr>
      <w:rPr>
        <w:rFonts w:hint="default"/>
        <w:b w:val="0"/>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8">
    <w:nsid w:val="21B60254"/>
    <w:multiLevelType w:val="hybridMultilevel"/>
    <w:tmpl w:val="EFAC445A"/>
    <w:lvl w:ilvl="0" w:tplc="79D429DC">
      <w:numFmt w:val="decimal"/>
      <w:lvlText w:val="2.6%1"/>
      <w:lvlJc w:val="center"/>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2710280"/>
    <w:multiLevelType w:val="hybridMultilevel"/>
    <w:tmpl w:val="542A5C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nsid w:val="2290388C"/>
    <w:multiLevelType w:val="multilevel"/>
    <w:tmpl w:val="8A4AB1A8"/>
    <w:lvl w:ilvl="0">
      <w:start w:val="2"/>
      <w:numFmt w:val="decimal"/>
      <w:lvlText w:val="%1"/>
      <w:lvlJc w:val="left"/>
      <w:pPr>
        <w:ind w:left="468" w:hanging="468"/>
      </w:pPr>
      <w:rPr>
        <w:rFonts w:hint="default"/>
      </w:rPr>
    </w:lvl>
    <w:lvl w:ilvl="1">
      <w:start w:val="49"/>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235820AE"/>
    <w:multiLevelType w:val="hybridMultilevel"/>
    <w:tmpl w:val="E9982BC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nsid w:val="241B4ADA"/>
    <w:multiLevelType w:val="hybridMultilevel"/>
    <w:tmpl w:val="51A6D8A2"/>
    <w:lvl w:ilvl="0" w:tplc="AE28B822">
      <w:start w:val="1"/>
      <w:numFmt w:val="decimal"/>
      <w:lvlText w:val="2.3%1"/>
      <w:lvlJc w:val="left"/>
      <w:pPr>
        <w:ind w:left="1080" w:hanging="360"/>
      </w:pPr>
      <w:rPr>
        <w:rFonts w:hint="default"/>
      </w:rPr>
    </w:lvl>
    <w:lvl w:ilvl="1" w:tplc="08090019" w:tentative="1">
      <w:start w:val="1"/>
      <w:numFmt w:val="lowerLetter"/>
      <w:lvlText w:val="%2."/>
      <w:lvlJc w:val="left"/>
      <w:pPr>
        <w:ind w:left="1800" w:hanging="360"/>
      </w:pPr>
    </w:lvl>
    <w:lvl w:ilvl="2" w:tplc="C7F48352">
      <w:start w:val="1"/>
      <w:numFmt w:val="decimal"/>
      <w:lvlText w:val="%3."/>
      <w:lvlJc w:val="left"/>
      <w:pPr>
        <w:ind w:left="2520" w:hanging="180"/>
      </w:pPr>
      <w:rPr>
        <w:rFonts w:hint="default"/>
      </w:r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26427837"/>
    <w:multiLevelType w:val="hybridMultilevel"/>
    <w:tmpl w:val="AB6847B4"/>
    <w:lvl w:ilvl="0" w:tplc="02C8EF70">
      <w:start w:val="1"/>
      <w:numFmt w:val="decimal"/>
      <w:lvlText w:val="2.2%1"/>
      <w:lvlJc w:val="left"/>
      <w:pPr>
        <w:ind w:left="567"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44">
    <w:nsid w:val="26A075F5"/>
    <w:multiLevelType w:val="multilevel"/>
    <w:tmpl w:val="F3F0E964"/>
    <w:lvl w:ilvl="0">
      <w:start w:val="2"/>
      <w:numFmt w:val="decimal"/>
      <w:lvlText w:val="%1"/>
      <w:lvlJc w:val="left"/>
      <w:pPr>
        <w:ind w:left="468" w:hanging="468"/>
      </w:pPr>
      <w:rPr>
        <w:rFonts w:hint="default"/>
      </w:rPr>
    </w:lvl>
    <w:lvl w:ilvl="1">
      <w:start w:val="11"/>
      <w:numFmt w:val="decimal"/>
      <w:lvlText w:val="%1.%2"/>
      <w:lvlJc w:val="left"/>
      <w:pPr>
        <w:ind w:left="894" w:hanging="468"/>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5">
    <w:nsid w:val="280B66B5"/>
    <w:multiLevelType w:val="hybridMultilevel"/>
    <w:tmpl w:val="F9221420"/>
    <w:lvl w:ilvl="0" w:tplc="B15A4D2E">
      <w:numFmt w:val="decimal"/>
      <w:lvlText w:val="2.6%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28D64C9B"/>
    <w:multiLevelType w:val="multilevel"/>
    <w:tmpl w:val="A920C562"/>
    <w:lvl w:ilvl="0">
      <w:start w:val="2"/>
      <w:numFmt w:val="decimal"/>
      <w:lvlText w:val="%1.0"/>
      <w:lvlJc w:val="left"/>
      <w:pPr>
        <w:ind w:left="405" w:hanging="405"/>
      </w:pPr>
      <w:rPr>
        <w:rFonts w:hint="default"/>
        <w:b/>
      </w:rPr>
    </w:lvl>
    <w:lvl w:ilvl="1">
      <w:start w:val="9"/>
      <w:numFmt w:val="decimal"/>
      <w:lvlText w:val="2.%2"/>
      <w:lvlJc w:val="left"/>
      <w:pPr>
        <w:ind w:left="624" w:hanging="198"/>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nsid w:val="28E16C64"/>
    <w:multiLevelType w:val="multilevel"/>
    <w:tmpl w:val="11425ACE"/>
    <w:lvl w:ilvl="0">
      <w:start w:val="2"/>
      <w:numFmt w:val="decimal"/>
      <w:lvlText w:val="%1"/>
      <w:lvlJc w:val="left"/>
      <w:pPr>
        <w:ind w:left="468" w:hanging="468"/>
      </w:pPr>
      <w:rPr>
        <w:rFonts w:hint="default"/>
      </w:rPr>
    </w:lvl>
    <w:lvl w:ilvl="1">
      <w:start w:val="78"/>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29013352"/>
    <w:multiLevelType w:val="hybridMultilevel"/>
    <w:tmpl w:val="A000D15E"/>
    <w:lvl w:ilvl="0" w:tplc="478403EA">
      <w:start w:val="7"/>
      <w:numFmt w:val="decimal"/>
      <w:lvlText w:val="2.6%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2BE70B23"/>
    <w:multiLevelType w:val="hybridMultilevel"/>
    <w:tmpl w:val="F646A1A8"/>
    <w:lvl w:ilvl="0" w:tplc="E79E1FB8">
      <w:start w:val="6"/>
      <w:numFmt w:val="decimal"/>
      <w:lvlText w:val="2.5%1"/>
      <w:lvlJc w:val="center"/>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2C224101"/>
    <w:multiLevelType w:val="multilevel"/>
    <w:tmpl w:val="BDF4B71A"/>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2FA047AD"/>
    <w:multiLevelType w:val="multilevel"/>
    <w:tmpl w:val="237A619E"/>
    <w:lvl w:ilvl="0">
      <w:start w:val="2"/>
      <w:numFmt w:val="decimal"/>
      <w:lvlText w:val="%1.2"/>
      <w:lvlJc w:val="left"/>
      <w:pPr>
        <w:ind w:left="786" w:hanging="360"/>
      </w:pPr>
      <w:rPr>
        <w:rFonts w:hint="default"/>
      </w:rPr>
    </w:lvl>
    <w:lvl w:ilvl="1">
      <w:start w:val="1"/>
      <w:numFmt w:val="none"/>
      <w:lvlText w:val="2.1"/>
      <w:lvlJc w:val="left"/>
      <w:pPr>
        <w:ind w:left="360" w:hanging="360"/>
      </w:pPr>
      <w:rPr>
        <w:rFonts w:hint="default"/>
      </w:rPr>
    </w:lvl>
    <w:lvl w:ilvl="2">
      <w:start w:val="2"/>
      <w:numFmt w:val="decimal"/>
      <w:lvlText w:val="%3.0"/>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304504C6"/>
    <w:multiLevelType w:val="hybridMultilevel"/>
    <w:tmpl w:val="99EA3438"/>
    <w:lvl w:ilvl="0" w:tplc="94BEA228">
      <w:start w:val="5"/>
      <w:numFmt w:val="decimal"/>
      <w:lvlText w:val="2.5%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30782A74"/>
    <w:multiLevelType w:val="multilevel"/>
    <w:tmpl w:val="DA52F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31A01576"/>
    <w:multiLevelType w:val="hybridMultilevel"/>
    <w:tmpl w:val="0E36B098"/>
    <w:lvl w:ilvl="0" w:tplc="32401C4E">
      <w:start w:val="9"/>
      <w:numFmt w:val="decimal"/>
      <w:lvlText w:val="2.4%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22628FC"/>
    <w:multiLevelType w:val="hybridMultilevel"/>
    <w:tmpl w:val="0204D47A"/>
    <w:lvl w:ilvl="0" w:tplc="CBF2789C">
      <w:start w:val="9"/>
      <w:numFmt w:val="decimal"/>
      <w:lvlText w:val="2.7%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3565139A"/>
    <w:multiLevelType w:val="hybridMultilevel"/>
    <w:tmpl w:val="7B2A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6301E27"/>
    <w:multiLevelType w:val="multilevel"/>
    <w:tmpl w:val="F54018D4"/>
    <w:lvl w:ilvl="0">
      <w:start w:val="2"/>
      <w:numFmt w:val="decimal"/>
      <w:lvlText w:val="%1"/>
      <w:lvlJc w:val="left"/>
      <w:pPr>
        <w:ind w:left="360" w:hanging="360"/>
      </w:pPr>
      <w:rPr>
        <w:rFonts w:hint="default"/>
      </w:rPr>
    </w:lvl>
    <w:lvl w:ilvl="1">
      <w:start w:val="2"/>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58">
    <w:nsid w:val="36D66CCE"/>
    <w:multiLevelType w:val="hybridMultilevel"/>
    <w:tmpl w:val="CB946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7E22381"/>
    <w:multiLevelType w:val="multilevel"/>
    <w:tmpl w:val="77B6E97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384A3CDD"/>
    <w:multiLevelType w:val="hybridMultilevel"/>
    <w:tmpl w:val="76C61A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1">
    <w:nsid w:val="3880407B"/>
    <w:multiLevelType w:val="hybridMultilevel"/>
    <w:tmpl w:val="26782C3E"/>
    <w:lvl w:ilvl="0" w:tplc="6AD6146E">
      <w:start w:val="1"/>
      <w:numFmt w:val="decimal"/>
      <w:lvlText w:val="2.6%1"/>
      <w:lvlJc w:val="center"/>
      <w:pPr>
        <w:ind w:left="1495" w:hanging="360"/>
      </w:pPr>
      <w:rPr>
        <w:rFonts w:hint="default"/>
      </w:r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62">
    <w:nsid w:val="3893164E"/>
    <w:multiLevelType w:val="multilevel"/>
    <w:tmpl w:val="F7D44478"/>
    <w:lvl w:ilvl="0">
      <w:start w:val="2"/>
      <w:numFmt w:val="decimal"/>
      <w:lvlText w:val="%1.0"/>
      <w:lvlJc w:val="left"/>
      <w:pPr>
        <w:ind w:left="405" w:hanging="405"/>
      </w:pPr>
      <w:rPr>
        <w:rFonts w:hint="default"/>
        <w:b/>
      </w:rPr>
    </w:lvl>
    <w:lvl w:ilvl="1">
      <w:numFmt w:val="decimal"/>
      <w:lvlText w:val="2.4%2"/>
      <w:lvlJc w:val="center"/>
      <w:pPr>
        <w:ind w:left="547"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3">
    <w:nsid w:val="38DB64B1"/>
    <w:multiLevelType w:val="hybridMultilevel"/>
    <w:tmpl w:val="62641E94"/>
    <w:lvl w:ilvl="0" w:tplc="914697BC">
      <w:start w:val="2"/>
      <w:numFmt w:val="decimal"/>
      <w:lvlText w:val="2.7%1"/>
      <w:lvlJc w:val="center"/>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64">
    <w:nsid w:val="39510B18"/>
    <w:multiLevelType w:val="hybridMultilevel"/>
    <w:tmpl w:val="7F288AF2"/>
    <w:lvl w:ilvl="0" w:tplc="AE28B822">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A8D66D6"/>
    <w:multiLevelType w:val="hybridMultilevel"/>
    <w:tmpl w:val="EDD48DD4"/>
    <w:lvl w:ilvl="0" w:tplc="059C995C">
      <w:start w:val="2"/>
      <w:numFmt w:val="decimal"/>
      <w:lvlText w:val="2.7%1"/>
      <w:lvlJc w:val="center"/>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3B6314AE"/>
    <w:multiLevelType w:val="multilevel"/>
    <w:tmpl w:val="C9BA5A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3B851BA3"/>
    <w:multiLevelType w:val="hybridMultilevel"/>
    <w:tmpl w:val="5F1AF014"/>
    <w:lvl w:ilvl="0" w:tplc="D69CB26C">
      <w:start w:val="5"/>
      <w:numFmt w:val="decimal"/>
      <w:lvlText w:val="2.5%1"/>
      <w:lvlJc w:val="center"/>
      <w:pPr>
        <w:ind w:left="86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3BE7485A"/>
    <w:multiLevelType w:val="multilevel"/>
    <w:tmpl w:val="1B6E9D62"/>
    <w:lvl w:ilvl="0">
      <w:start w:val="2"/>
      <w:numFmt w:val="decimal"/>
      <w:lvlText w:val="%1"/>
      <w:lvlJc w:val="left"/>
      <w:pPr>
        <w:ind w:left="468" w:hanging="468"/>
      </w:pPr>
      <w:rPr>
        <w:rFonts w:hint="default"/>
        <w:b/>
      </w:rPr>
    </w:lvl>
    <w:lvl w:ilvl="1">
      <w:start w:val="45"/>
      <w:numFmt w:val="decimal"/>
      <w:lvlText w:val="%1.17"/>
      <w:lvlJc w:val="left"/>
      <w:pPr>
        <w:ind w:left="894" w:hanging="468"/>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9">
    <w:nsid w:val="3CD46023"/>
    <w:multiLevelType w:val="hybridMultilevel"/>
    <w:tmpl w:val="D838787E"/>
    <w:lvl w:ilvl="0" w:tplc="28C2FC24">
      <w:start w:val="9"/>
      <w:numFmt w:val="decimal"/>
      <w:lvlText w:val="2.6%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D3D7F93"/>
    <w:multiLevelType w:val="multilevel"/>
    <w:tmpl w:val="7624D00C"/>
    <w:lvl w:ilvl="0">
      <w:start w:val="2"/>
      <w:numFmt w:val="decimal"/>
      <w:lvlText w:val="%1.0"/>
      <w:lvlJc w:val="left"/>
      <w:pPr>
        <w:ind w:left="405" w:hanging="405"/>
      </w:pPr>
      <w:rPr>
        <w:rFonts w:hint="default"/>
        <w:b/>
      </w:rPr>
    </w:lvl>
    <w:lvl w:ilvl="1">
      <w:start w:val="6"/>
      <w:numFmt w:val="decimal"/>
      <w:lvlText w:val="2.2%2"/>
      <w:lvlJc w:val="left"/>
      <w:pPr>
        <w:ind w:left="547"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1">
    <w:nsid w:val="3D801F89"/>
    <w:multiLevelType w:val="hybridMultilevel"/>
    <w:tmpl w:val="877AF2EA"/>
    <w:lvl w:ilvl="0" w:tplc="4210B620">
      <w:start w:val="1"/>
      <w:numFmt w:val="decimal"/>
      <w:lvlText w:val="2.50%1"/>
      <w:lvlJc w:val="center"/>
      <w:pPr>
        <w:ind w:left="1642" w:hanging="360"/>
      </w:pPr>
      <w:rPr>
        <w:rFonts w:hint="default"/>
      </w:rPr>
    </w:lvl>
    <w:lvl w:ilvl="1" w:tplc="08090019">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72">
    <w:nsid w:val="3DCE4B4D"/>
    <w:multiLevelType w:val="hybridMultilevel"/>
    <w:tmpl w:val="98D48086"/>
    <w:lvl w:ilvl="0" w:tplc="6AD6146E">
      <w:start w:val="1"/>
      <w:numFmt w:val="decimal"/>
      <w:lvlText w:val="2.6%1"/>
      <w:lvlJc w:val="center"/>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3EEA502B"/>
    <w:multiLevelType w:val="hybridMultilevel"/>
    <w:tmpl w:val="E29C2F86"/>
    <w:lvl w:ilvl="0" w:tplc="80AA754A">
      <w:start w:val="4"/>
      <w:numFmt w:val="decimal"/>
      <w:lvlText w:val="%1."/>
      <w:lvlJc w:val="left"/>
      <w:pPr>
        <w:ind w:left="928"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3F55672E"/>
    <w:multiLevelType w:val="hybridMultilevel"/>
    <w:tmpl w:val="4DDA20C4"/>
    <w:lvl w:ilvl="0" w:tplc="08090001">
      <w:start w:val="1"/>
      <w:numFmt w:val="bullet"/>
      <w:lvlText w:val=""/>
      <w:lvlJc w:val="left"/>
      <w:pPr>
        <w:ind w:left="1440" w:hanging="360"/>
      </w:pPr>
      <w:rPr>
        <w:rFonts w:ascii="Symbol" w:hAnsi="Symbol" w:hint="default"/>
      </w:rPr>
    </w:lvl>
    <w:lvl w:ilvl="1" w:tplc="36280302">
      <w:start w:val="1"/>
      <w:numFmt w:val="decimal"/>
      <w:lvlText w:val="%2.5"/>
      <w:lvlJc w:val="left"/>
      <w:pPr>
        <w:ind w:left="2160" w:hanging="360"/>
      </w:pPr>
      <w:rPr>
        <w:rFonts w:hint="default"/>
        <w:b w:val="0"/>
        <w:color w:val="000000" w:themeColor="text1"/>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75">
    <w:nsid w:val="400C4B30"/>
    <w:multiLevelType w:val="multilevel"/>
    <w:tmpl w:val="FE5478F0"/>
    <w:lvl w:ilvl="0">
      <w:start w:val="2"/>
      <w:numFmt w:val="decimal"/>
      <w:lvlText w:val="%1.0"/>
      <w:lvlJc w:val="left"/>
      <w:pPr>
        <w:ind w:left="405" w:hanging="405"/>
      </w:pPr>
      <w:rPr>
        <w:rFonts w:hint="default"/>
        <w:b/>
      </w:rPr>
    </w:lvl>
    <w:lvl w:ilvl="1">
      <w:start w:val="9"/>
      <w:numFmt w:val="decimal"/>
      <w:lvlText w:val="2.3%2"/>
      <w:lvlJc w:val="left"/>
      <w:pPr>
        <w:ind w:left="547"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6">
    <w:nsid w:val="403E4F15"/>
    <w:multiLevelType w:val="multilevel"/>
    <w:tmpl w:val="189C8E58"/>
    <w:lvl w:ilvl="0">
      <w:start w:val="2"/>
      <w:numFmt w:val="decimal"/>
      <w:lvlText w:val="%1"/>
      <w:lvlJc w:val="left"/>
      <w:pPr>
        <w:ind w:left="465" w:hanging="465"/>
      </w:pPr>
      <w:rPr>
        <w:rFonts w:hint="default"/>
      </w:rPr>
    </w:lvl>
    <w:lvl w:ilvl="1">
      <w:start w:val="40"/>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7">
    <w:nsid w:val="416F7187"/>
    <w:multiLevelType w:val="hybridMultilevel"/>
    <w:tmpl w:val="51AC9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nsid w:val="422E2E33"/>
    <w:multiLevelType w:val="hybridMultilevel"/>
    <w:tmpl w:val="ED3E06EE"/>
    <w:lvl w:ilvl="0" w:tplc="1D7EDBBC">
      <w:start w:val="5"/>
      <w:numFmt w:val="decimal"/>
      <w:lvlText w:val="%1."/>
      <w:lvlJc w:val="left"/>
      <w:pPr>
        <w:ind w:left="1495"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42672DCA"/>
    <w:multiLevelType w:val="hybridMultilevel"/>
    <w:tmpl w:val="8DC43DBA"/>
    <w:lvl w:ilvl="0" w:tplc="3FAE4F3E">
      <w:start w:val="1"/>
      <w:numFmt w:val="decimal"/>
      <w:lvlText w:val="2.2%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42852B72"/>
    <w:multiLevelType w:val="multilevel"/>
    <w:tmpl w:val="288A825E"/>
    <w:lvl w:ilvl="0">
      <w:start w:val="5"/>
      <w:numFmt w:val="decimal"/>
      <w:lvlText w:val="%1"/>
      <w:lvlJc w:val="left"/>
      <w:pPr>
        <w:ind w:left="360" w:hanging="360"/>
      </w:pPr>
      <w:rPr>
        <w:rFonts w:hint="default"/>
      </w:rPr>
    </w:lvl>
    <w:lvl w:ilvl="1">
      <w:start w:val="5"/>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42B4269F"/>
    <w:multiLevelType w:val="hybridMultilevel"/>
    <w:tmpl w:val="AA9C9062"/>
    <w:lvl w:ilvl="0" w:tplc="E6D884DC">
      <w:start w:val="9"/>
      <w:numFmt w:val="decimal"/>
      <w:lvlText w:val="2.2%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42F97D88"/>
    <w:multiLevelType w:val="hybridMultilevel"/>
    <w:tmpl w:val="0FF441CE"/>
    <w:lvl w:ilvl="0" w:tplc="286C2A9C">
      <w:start w:val="1"/>
      <w:numFmt w:val="decimal"/>
      <w:lvlText w:val="2.3%1"/>
      <w:lvlJc w:val="left"/>
      <w:pPr>
        <w:ind w:left="1642"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3">
    <w:nsid w:val="434A41C5"/>
    <w:multiLevelType w:val="hybridMultilevel"/>
    <w:tmpl w:val="E780D1AA"/>
    <w:lvl w:ilvl="0" w:tplc="139CA598">
      <w:start w:val="1"/>
      <w:numFmt w:val="decimal"/>
      <w:lvlText w:val="2.5%1"/>
      <w:lvlJc w:val="center"/>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4">
    <w:nsid w:val="43AB4154"/>
    <w:multiLevelType w:val="hybridMultilevel"/>
    <w:tmpl w:val="229862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5">
    <w:nsid w:val="43BC4B05"/>
    <w:multiLevelType w:val="hybridMultilevel"/>
    <w:tmpl w:val="B5BA198C"/>
    <w:lvl w:ilvl="0" w:tplc="A60A5F5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nsid w:val="449E2F26"/>
    <w:multiLevelType w:val="hybridMultilevel"/>
    <w:tmpl w:val="08B09CF4"/>
    <w:lvl w:ilvl="0" w:tplc="65AC157C">
      <w:numFmt w:val="decimal"/>
      <w:lvlText w:val="2.3%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44EF3C60"/>
    <w:multiLevelType w:val="multilevel"/>
    <w:tmpl w:val="CC8E14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45CE20FB"/>
    <w:multiLevelType w:val="hybridMultilevel"/>
    <w:tmpl w:val="215E812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9">
    <w:nsid w:val="46FF72EC"/>
    <w:multiLevelType w:val="multilevel"/>
    <w:tmpl w:val="0BDA139E"/>
    <w:lvl w:ilvl="0">
      <w:start w:val="1"/>
      <w:numFmt w:val="none"/>
      <w:lvlText w:val="1.1"/>
      <w:lvlJc w:val="left"/>
      <w:pPr>
        <w:ind w:left="360" w:hanging="360"/>
      </w:pPr>
      <w:rPr>
        <w:rFonts w:hint="default"/>
      </w:rPr>
    </w:lvl>
    <w:lvl w:ilvl="1">
      <w:start w:val="1"/>
      <w:numFmt w:val="none"/>
      <w:lvlText w:val="2.1"/>
      <w:lvlJc w:val="left"/>
      <w:pPr>
        <w:ind w:left="360" w:hanging="360"/>
      </w:pPr>
      <w:rPr>
        <w:rFonts w:hint="default"/>
      </w:rPr>
    </w:lvl>
    <w:lvl w:ilvl="2">
      <w:start w:val="1"/>
      <w:numFmt w:val="none"/>
      <w:lvlText w:val="1.2"/>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47611ED2"/>
    <w:multiLevelType w:val="hybridMultilevel"/>
    <w:tmpl w:val="4FDC35D8"/>
    <w:lvl w:ilvl="0" w:tplc="0AA0E638">
      <w:start w:val="6"/>
      <w:numFmt w:val="decimal"/>
      <w:lvlText w:val="2.6%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48E24EDE"/>
    <w:multiLevelType w:val="hybridMultilevel"/>
    <w:tmpl w:val="C3D2DF90"/>
    <w:lvl w:ilvl="0" w:tplc="AE28B822">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495D41FC"/>
    <w:multiLevelType w:val="hybridMultilevel"/>
    <w:tmpl w:val="8676FD90"/>
    <w:lvl w:ilvl="0" w:tplc="37344528">
      <w:start w:val="7"/>
      <w:numFmt w:val="decimal"/>
      <w:lvlText w:val="3.%1"/>
      <w:lvlJc w:val="left"/>
      <w:pPr>
        <w:ind w:left="502" w:hanging="360"/>
      </w:pPr>
      <w:rPr>
        <w:rFonts w:hint="default"/>
        <w:b w:val="0"/>
        <w:color w:val="000000" w:themeColor="text1"/>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93">
    <w:nsid w:val="49BF66B1"/>
    <w:multiLevelType w:val="hybridMultilevel"/>
    <w:tmpl w:val="CE1E042E"/>
    <w:lvl w:ilvl="0" w:tplc="1E200D82">
      <w:start w:val="37"/>
      <w:numFmt w:val="decimal"/>
      <w:lvlText w:val="3.%1"/>
      <w:lvlJc w:val="left"/>
      <w:pPr>
        <w:ind w:left="928"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4B6E6DA2"/>
    <w:multiLevelType w:val="multilevel"/>
    <w:tmpl w:val="E1B0D3D4"/>
    <w:lvl w:ilvl="0">
      <w:start w:val="2"/>
      <w:numFmt w:val="decimal"/>
      <w:lvlText w:val="%1.5"/>
      <w:lvlJc w:val="left"/>
      <w:pPr>
        <w:ind w:left="405" w:hanging="405"/>
      </w:pPr>
      <w:rPr>
        <w:rFonts w:hint="default"/>
        <w:b/>
      </w:rPr>
    </w:lvl>
    <w:lvl w:ilvl="1">
      <w:start w:val="2"/>
      <w:numFmt w:val="decimal"/>
      <w:lvlText w:val="2.5%2"/>
      <w:lvlJc w:val="center"/>
      <w:pPr>
        <w:ind w:left="689"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5">
    <w:nsid w:val="4B7A5A1C"/>
    <w:multiLevelType w:val="hybridMultilevel"/>
    <w:tmpl w:val="1212AF20"/>
    <w:lvl w:ilvl="0" w:tplc="6AD6146E">
      <w:start w:val="1"/>
      <w:numFmt w:val="decimal"/>
      <w:lvlText w:val="2.6%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4D211D30"/>
    <w:multiLevelType w:val="hybridMultilevel"/>
    <w:tmpl w:val="C1009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D835A32"/>
    <w:multiLevelType w:val="multilevel"/>
    <w:tmpl w:val="A60213CC"/>
    <w:lvl w:ilvl="0">
      <w:start w:val="4"/>
      <w:numFmt w:val="decimal"/>
      <w:lvlText w:val="%1"/>
      <w:lvlJc w:val="left"/>
      <w:pPr>
        <w:ind w:left="360" w:hanging="360"/>
      </w:pPr>
      <w:rPr>
        <w:rFonts w:hint="default"/>
      </w:rPr>
    </w:lvl>
    <w:lvl w:ilvl="1">
      <w:start w:val="2"/>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nsid w:val="4DBA2E8A"/>
    <w:multiLevelType w:val="hybridMultilevel"/>
    <w:tmpl w:val="429CB2A6"/>
    <w:lvl w:ilvl="0" w:tplc="6AD6146E">
      <w:start w:val="1"/>
      <w:numFmt w:val="decimal"/>
      <w:lvlText w:val="2.6%1"/>
      <w:lvlJc w:val="center"/>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4E4A2BD6"/>
    <w:multiLevelType w:val="hybridMultilevel"/>
    <w:tmpl w:val="079C27B4"/>
    <w:lvl w:ilvl="0" w:tplc="8DDA6C44">
      <w:start w:val="6"/>
      <w:numFmt w:val="decimal"/>
      <w:lvlText w:val="2.5%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4E91606C"/>
    <w:multiLevelType w:val="hybridMultilevel"/>
    <w:tmpl w:val="1C4869B0"/>
    <w:lvl w:ilvl="0" w:tplc="6AD6146E">
      <w:start w:val="1"/>
      <w:numFmt w:val="decimal"/>
      <w:lvlText w:val="2.6%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4F0078B2"/>
    <w:multiLevelType w:val="multilevel"/>
    <w:tmpl w:val="C10ECCA6"/>
    <w:lvl w:ilvl="0">
      <w:start w:val="2"/>
      <w:numFmt w:val="decimal"/>
      <w:lvlText w:val="%1"/>
      <w:lvlJc w:val="left"/>
      <w:pPr>
        <w:ind w:left="465" w:hanging="465"/>
      </w:pPr>
      <w:rPr>
        <w:rFonts w:hint="default"/>
      </w:rPr>
    </w:lvl>
    <w:lvl w:ilvl="1">
      <w:start w:val="8"/>
      <w:numFmt w:val="decimal"/>
      <w:lvlText w:val="2.2%2"/>
      <w:lvlJc w:val="center"/>
      <w:pPr>
        <w:ind w:left="749"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nsid w:val="4F0E16BD"/>
    <w:multiLevelType w:val="hybridMultilevel"/>
    <w:tmpl w:val="234C7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FC450D3"/>
    <w:multiLevelType w:val="hybridMultilevel"/>
    <w:tmpl w:val="F1DE8A20"/>
    <w:lvl w:ilvl="0" w:tplc="F1A04E3A">
      <w:start w:val="7"/>
      <w:numFmt w:val="decimal"/>
      <w:lvlText w:val="2.7%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4FF3600D"/>
    <w:multiLevelType w:val="hybridMultilevel"/>
    <w:tmpl w:val="CF3A7500"/>
    <w:lvl w:ilvl="0" w:tplc="36280302">
      <w:start w:val="1"/>
      <w:numFmt w:val="decimal"/>
      <w:lvlText w:val="%1.5"/>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05">
    <w:nsid w:val="50842635"/>
    <w:multiLevelType w:val="hybridMultilevel"/>
    <w:tmpl w:val="5C9E7AB4"/>
    <w:lvl w:ilvl="0" w:tplc="F9386E86">
      <w:numFmt w:val="decimal"/>
      <w:lvlText w:val="2.3%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50B613A0"/>
    <w:multiLevelType w:val="hybridMultilevel"/>
    <w:tmpl w:val="339AEC1E"/>
    <w:lvl w:ilvl="0" w:tplc="74402340">
      <w:start w:val="8"/>
      <w:numFmt w:val="decimal"/>
      <w:lvlText w:val="2.5%1"/>
      <w:lvlJc w:val="center"/>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511562E8"/>
    <w:multiLevelType w:val="hybridMultilevel"/>
    <w:tmpl w:val="5A3286FE"/>
    <w:lvl w:ilvl="0" w:tplc="76A88B16">
      <w:start w:val="1"/>
      <w:numFmt w:val="decimal"/>
      <w:lvlText w:val="4.%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520E2F93"/>
    <w:multiLevelType w:val="hybridMultilevel"/>
    <w:tmpl w:val="6AB63F6A"/>
    <w:lvl w:ilvl="0" w:tplc="914697BC">
      <w:start w:val="2"/>
      <w:numFmt w:val="decimal"/>
      <w:lvlText w:val="2.7%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530F201D"/>
    <w:multiLevelType w:val="multilevel"/>
    <w:tmpl w:val="9140B3AC"/>
    <w:lvl w:ilvl="0">
      <w:start w:val="2"/>
      <w:numFmt w:val="decimal"/>
      <w:lvlText w:val="%1"/>
      <w:lvlJc w:val="left"/>
      <w:pPr>
        <w:ind w:left="465" w:hanging="465"/>
      </w:pPr>
      <w:rPr>
        <w:rFonts w:hint="default"/>
      </w:rPr>
    </w:lvl>
    <w:lvl w:ilvl="1">
      <w:start w:val="5"/>
      <w:numFmt w:val="decimal"/>
      <w:lvlText w:val="2.6%2"/>
      <w:lvlJc w:val="center"/>
      <w:pPr>
        <w:ind w:left="607" w:hanging="465"/>
      </w:pPr>
      <w:rPr>
        <w:rFonts w:hint="default"/>
        <w:b w:val="0"/>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10">
    <w:nsid w:val="546F6DD2"/>
    <w:multiLevelType w:val="hybridMultilevel"/>
    <w:tmpl w:val="22FA27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1">
    <w:nsid w:val="54965608"/>
    <w:multiLevelType w:val="hybridMultilevel"/>
    <w:tmpl w:val="65840794"/>
    <w:lvl w:ilvl="0" w:tplc="AE28B822">
      <w:start w:val="1"/>
      <w:numFmt w:val="decimal"/>
      <w:lvlText w:val="2.3%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564D1FC2"/>
    <w:multiLevelType w:val="multilevel"/>
    <w:tmpl w:val="067056DC"/>
    <w:lvl w:ilvl="0">
      <w:start w:val="2"/>
      <w:numFmt w:val="decimal"/>
      <w:lvlText w:val="%1.5"/>
      <w:lvlJc w:val="left"/>
      <w:pPr>
        <w:ind w:left="405" w:hanging="405"/>
      </w:pPr>
      <w:rPr>
        <w:rFonts w:hint="default"/>
        <w:b/>
      </w:rPr>
    </w:lvl>
    <w:lvl w:ilvl="1">
      <w:start w:val="6"/>
      <w:numFmt w:val="decimal"/>
      <w:lvlText w:val="2.4%2"/>
      <w:lvlJc w:val="center"/>
      <w:pPr>
        <w:ind w:left="689"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3">
    <w:nsid w:val="56C924A3"/>
    <w:multiLevelType w:val="hybridMultilevel"/>
    <w:tmpl w:val="F62E052C"/>
    <w:lvl w:ilvl="0" w:tplc="914697BC">
      <w:start w:val="2"/>
      <w:numFmt w:val="decimal"/>
      <w:lvlText w:val="2.7%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570C2702"/>
    <w:multiLevelType w:val="multilevel"/>
    <w:tmpl w:val="7C6A4F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5">
    <w:nsid w:val="57BF7A54"/>
    <w:multiLevelType w:val="hybridMultilevel"/>
    <w:tmpl w:val="6AF82A7A"/>
    <w:lvl w:ilvl="0" w:tplc="94A8545C">
      <w:start w:val="7"/>
      <w:numFmt w:val="decimal"/>
      <w:lvlText w:val="2.5%1"/>
      <w:lvlJc w:val="center"/>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58FF09C9"/>
    <w:multiLevelType w:val="hybridMultilevel"/>
    <w:tmpl w:val="94A644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7">
    <w:nsid w:val="5A257855"/>
    <w:multiLevelType w:val="hybridMultilevel"/>
    <w:tmpl w:val="AD0C4F90"/>
    <w:lvl w:ilvl="0" w:tplc="F3DCC804">
      <w:numFmt w:val="decimal"/>
      <w:lvlText w:val="2.7%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5B4E0422"/>
    <w:multiLevelType w:val="hybridMultilevel"/>
    <w:tmpl w:val="7A823ED2"/>
    <w:lvl w:ilvl="0" w:tplc="B22A6448">
      <w:start w:val="9"/>
      <w:numFmt w:val="decimal"/>
      <w:lvlText w:val="2.6%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5C2075A7"/>
    <w:multiLevelType w:val="multilevel"/>
    <w:tmpl w:val="0296748A"/>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none"/>
      <w:lvlText w:val="1.2"/>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nsid w:val="5CB60917"/>
    <w:multiLevelType w:val="hybridMultilevel"/>
    <w:tmpl w:val="BF7C6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1">
    <w:nsid w:val="5DE60202"/>
    <w:multiLevelType w:val="hybridMultilevel"/>
    <w:tmpl w:val="B14C3992"/>
    <w:lvl w:ilvl="0" w:tplc="36280302">
      <w:start w:val="1"/>
      <w:numFmt w:val="decimal"/>
      <w:lvlText w:val="%1.5"/>
      <w:lvlJc w:val="left"/>
      <w:pPr>
        <w:ind w:left="1211" w:hanging="360"/>
      </w:pPr>
      <w:rPr>
        <w:rFonts w:hint="default"/>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122">
    <w:nsid w:val="5DF41E0B"/>
    <w:multiLevelType w:val="hybridMultilevel"/>
    <w:tmpl w:val="5B5E82C2"/>
    <w:lvl w:ilvl="0" w:tplc="7F380B2E">
      <w:start w:val="5"/>
      <w:numFmt w:val="decimal"/>
      <w:lvlText w:val="%1."/>
      <w:lvlJc w:val="left"/>
      <w:pPr>
        <w:ind w:left="1288" w:hanging="360"/>
      </w:pPr>
      <w:rPr>
        <w:rFonts w:hint="default"/>
      </w:r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23">
    <w:nsid w:val="5F83739F"/>
    <w:multiLevelType w:val="hybridMultilevel"/>
    <w:tmpl w:val="EC320218"/>
    <w:lvl w:ilvl="0" w:tplc="62A6DF78">
      <w:start w:val="2"/>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60585A39"/>
    <w:multiLevelType w:val="hybridMultilevel"/>
    <w:tmpl w:val="1CD68532"/>
    <w:lvl w:ilvl="0" w:tplc="5EDEDBFA">
      <w:start w:val="8"/>
      <w:numFmt w:val="decimal"/>
      <w:lvlText w:val="2.5%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nsid w:val="606A170E"/>
    <w:multiLevelType w:val="hybridMultilevel"/>
    <w:tmpl w:val="BC080930"/>
    <w:lvl w:ilvl="0" w:tplc="882ED772">
      <w:numFmt w:val="decimal"/>
      <w:lvlText w:val="2.6%1"/>
      <w:lvlJc w:val="center"/>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60AE3295"/>
    <w:multiLevelType w:val="multilevel"/>
    <w:tmpl w:val="E28835BC"/>
    <w:lvl w:ilvl="0">
      <w:start w:val="2"/>
      <w:numFmt w:val="decimal"/>
      <w:lvlText w:val="%1"/>
      <w:lvlJc w:val="left"/>
      <w:pPr>
        <w:ind w:left="465" w:hanging="465"/>
      </w:pPr>
      <w:rPr>
        <w:rFonts w:hint="default"/>
      </w:rPr>
    </w:lvl>
    <w:lvl w:ilvl="1">
      <w:start w:val="8"/>
      <w:numFmt w:val="none"/>
      <w:lvlText w:val="2.22"/>
      <w:lvlJc w:val="center"/>
      <w:pPr>
        <w:ind w:left="891" w:hanging="46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27">
    <w:nsid w:val="633E0EBF"/>
    <w:multiLevelType w:val="multilevel"/>
    <w:tmpl w:val="70028EE4"/>
    <w:lvl w:ilvl="0">
      <w:start w:val="2"/>
      <w:numFmt w:val="decimal"/>
      <w:lvlText w:val="%1"/>
      <w:lvlJc w:val="left"/>
      <w:pPr>
        <w:ind w:left="465" w:hanging="465"/>
      </w:pPr>
      <w:rPr>
        <w:rFonts w:hint="default"/>
      </w:rPr>
    </w:lvl>
    <w:lvl w:ilvl="1">
      <w:start w:val="4"/>
      <w:numFmt w:val="decimal"/>
      <w:lvlText w:val="2.2%2"/>
      <w:lvlJc w:val="center"/>
      <w:pPr>
        <w:ind w:left="1154" w:hanging="465"/>
      </w:pPr>
      <w:rPr>
        <w:rFonts w:hint="default"/>
        <w:b w:val="0"/>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28">
    <w:nsid w:val="635F7D18"/>
    <w:multiLevelType w:val="hybridMultilevel"/>
    <w:tmpl w:val="C3B6D580"/>
    <w:lvl w:ilvl="0" w:tplc="08090001">
      <w:start w:val="1"/>
      <w:numFmt w:val="bullet"/>
      <w:lvlText w:val=""/>
      <w:lvlJc w:val="left"/>
      <w:pPr>
        <w:ind w:left="1409" w:hanging="360"/>
      </w:pPr>
      <w:rPr>
        <w:rFonts w:ascii="Symbol" w:hAnsi="Symbol" w:hint="default"/>
      </w:rPr>
    </w:lvl>
    <w:lvl w:ilvl="1" w:tplc="08090003" w:tentative="1">
      <w:start w:val="1"/>
      <w:numFmt w:val="bullet"/>
      <w:lvlText w:val="o"/>
      <w:lvlJc w:val="left"/>
      <w:pPr>
        <w:ind w:left="2129" w:hanging="360"/>
      </w:pPr>
      <w:rPr>
        <w:rFonts w:ascii="Courier New" w:hAnsi="Courier New" w:cs="Courier New" w:hint="default"/>
      </w:rPr>
    </w:lvl>
    <w:lvl w:ilvl="2" w:tplc="08090005" w:tentative="1">
      <w:start w:val="1"/>
      <w:numFmt w:val="bullet"/>
      <w:lvlText w:val=""/>
      <w:lvlJc w:val="left"/>
      <w:pPr>
        <w:ind w:left="2849" w:hanging="360"/>
      </w:pPr>
      <w:rPr>
        <w:rFonts w:ascii="Wingdings" w:hAnsi="Wingdings" w:hint="default"/>
      </w:rPr>
    </w:lvl>
    <w:lvl w:ilvl="3" w:tplc="08090001" w:tentative="1">
      <w:start w:val="1"/>
      <w:numFmt w:val="bullet"/>
      <w:lvlText w:val=""/>
      <w:lvlJc w:val="left"/>
      <w:pPr>
        <w:ind w:left="3569" w:hanging="360"/>
      </w:pPr>
      <w:rPr>
        <w:rFonts w:ascii="Symbol" w:hAnsi="Symbol" w:hint="default"/>
      </w:rPr>
    </w:lvl>
    <w:lvl w:ilvl="4" w:tplc="08090003" w:tentative="1">
      <w:start w:val="1"/>
      <w:numFmt w:val="bullet"/>
      <w:lvlText w:val="o"/>
      <w:lvlJc w:val="left"/>
      <w:pPr>
        <w:ind w:left="4289" w:hanging="360"/>
      </w:pPr>
      <w:rPr>
        <w:rFonts w:ascii="Courier New" w:hAnsi="Courier New" w:cs="Courier New" w:hint="default"/>
      </w:rPr>
    </w:lvl>
    <w:lvl w:ilvl="5" w:tplc="08090005" w:tentative="1">
      <w:start w:val="1"/>
      <w:numFmt w:val="bullet"/>
      <w:lvlText w:val=""/>
      <w:lvlJc w:val="left"/>
      <w:pPr>
        <w:ind w:left="5009" w:hanging="360"/>
      </w:pPr>
      <w:rPr>
        <w:rFonts w:ascii="Wingdings" w:hAnsi="Wingdings" w:hint="default"/>
      </w:rPr>
    </w:lvl>
    <w:lvl w:ilvl="6" w:tplc="08090001" w:tentative="1">
      <w:start w:val="1"/>
      <w:numFmt w:val="bullet"/>
      <w:lvlText w:val=""/>
      <w:lvlJc w:val="left"/>
      <w:pPr>
        <w:ind w:left="5729" w:hanging="360"/>
      </w:pPr>
      <w:rPr>
        <w:rFonts w:ascii="Symbol" w:hAnsi="Symbol" w:hint="default"/>
      </w:rPr>
    </w:lvl>
    <w:lvl w:ilvl="7" w:tplc="08090003" w:tentative="1">
      <w:start w:val="1"/>
      <w:numFmt w:val="bullet"/>
      <w:lvlText w:val="o"/>
      <w:lvlJc w:val="left"/>
      <w:pPr>
        <w:ind w:left="6449" w:hanging="360"/>
      </w:pPr>
      <w:rPr>
        <w:rFonts w:ascii="Courier New" w:hAnsi="Courier New" w:cs="Courier New" w:hint="default"/>
      </w:rPr>
    </w:lvl>
    <w:lvl w:ilvl="8" w:tplc="08090005" w:tentative="1">
      <w:start w:val="1"/>
      <w:numFmt w:val="bullet"/>
      <w:lvlText w:val=""/>
      <w:lvlJc w:val="left"/>
      <w:pPr>
        <w:ind w:left="7169" w:hanging="360"/>
      </w:pPr>
      <w:rPr>
        <w:rFonts w:ascii="Wingdings" w:hAnsi="Wingdings" w:hint="default"/>
      </w:rPr>
    </w:lvl>
  </w:abstractNum>
  <w:abstractNum w:abstractNumId="129">
    <w:nsid w:val="64042B8A"/>
    <w:multiLevelType w:val="hybridMultilevel"/>
    <w:tmpl w:val="50EA6F9C"/>
    <w:lvl w:ilvl="0" w:tplc="243A0AA4">
      <w:start w:val="1"/>
      <w:numFmt w:val="decimal"/>
      <w:lvlText w:val="6.%1"/>
      <w:lvlJc w:val="left"/>
      <w:pPr>
        <w:ind w:left="1429" w:hanging="360"/>
      </w:pPr>
      <w:rPr>
        <w:rFonts w:hint="default"/>
        <w:b w:val="0"/>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0">
    <w:nsid w:val="647B1E30"/>
    <w:multiLevelType w:val="hybridMultilevel"/>
    <w:tmpl w:val="ABF68A72"/>
    <w:lvl w:ilvl="0" w:tplc="1654D740">
      <w:start w:val="1"/>
      <w:numFmt w:val="decimal"/>
      <w:lvlText w:val="2.4%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nsid w:val="64FB2F05"/>
    <w:multiLevelType w:val="hybridMultilevel"/>
    <w:tmpl w:val="3E1AE77C"/>
    <w:lvl w:ilvl="0" w:tplc="9CD2B644">
      <w:start w:val="8"/>
      <w:numFmt w:val="decimal"/>
      <w:lvlText w:val="2.4%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2">
    <w:nsid w:val="655127A6"/>
    <w:multiLevelType w:val="hybridMultilevel"/>
    <w:tmpl w:val="208CE0CA"/>
    <w:lvl w:ilvl="0" w:tplc="CBF40F64">
      <w:start w:val="2"/>
      <w:numFmt w:val="decimal"/>
      <w:lvlText w:val="%1.5"/>
      <w:lvlJc w:val="left"/>
      <w:pPr>
        <w:ind w:left="216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655C38B2"/>
    <w:multiLevelType w:val="multilevel"/>
    <w:tmpl w:val="3C726D3E"/>
    <w:lvl w:ilvl="0">
      <w:start w:val="2"/>
      <w:numFmt w:val="decimal"/>
      <w:lvlText w:val="%1.0"/>
      <w:lvlJc w:val="left"/>
      <w:pPr>
        <w:ind w:left="405" w:hanging="405"/>
      </w:pPr>
      <w:rPr>
        <w:rFonts w:hint="default"/>
        <w:b/>
      </w:rPr>
    </w:lvl>
    <w:lvl w:ilvl="1">
      <w:start w:val="6"/>
      <w:numFmt w:val="decimal"/>
      <w:lvlText w:val="2.4%2"/>
      <w:lvlJc w:val="left"/>
      <w:pPr>
        <w:ind w:left="547"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4">
    <w:nsid w:val="65E37A6F"/>
    <w:multiLevelType w:val="multilevel"/>
    <w:tmpl w:val="99CA754E"/>
    <w:lvl w:ilvl="0">
      <w:start w:val="2"/>
      <w:numFmt w:val="decimal"/>
      <w:lvlText w:val="%1"/>
      <w:lvlJc w:val="left"/>
      <w:pPr>
        <w:ind w:left="468" w:hanging="468"/>
      </w:pPr>
      <w:rPr>
        <w:rFonts w:hint="default"/>
      </w:rPr>
    </w:lvl>
    <w:lvl w:ilvl="1">
      <w:start w:val="30"/>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5">
    <w:nsid w:val="66DC4822"/>
    <w:multiLevelType w:val="multilevel"/>
    <w:tmpl w:val="19C039D0"/>
    <w:lvl w:ilvl="0">
      <w:start w:val="1"/>
      <w:numFmt w:val="decimal"/>
      <w:lvlText w:val="%1"/>
      <w:lvlJc w:val="left"/>
      <w:pPr>
        <w:ind w:left="360" w:hanging="360"/>
      </w:pPr>
      <w:rPr>
        <w:rFonts w:hint="default"/>
      </w:rPr>
    </w:lvl>
    <w:lvl w:ilvl="1">
      <w:start w:val="3"/>
      <w:numFmt w:val="decimal"/>
      <w:lvlText w:val="%1.%2"/>
      <w:lvlJc w:val="left"/>
      <w:pPr>
        <w:ind w:left="1806" w:hanging="360"/>
      </w:pPr>
      <w:rPr>
        <w:rFonts w:hint="default"/>
      </w:rPr>
    </w:lvl>
    <w:lvl w:ilvl="2">
      <w:start w:val="1"/>
      <w:numFmt w:val="decimal"/>
      <w:lvlText w:val="%1.%2.%3"/>
      <w:lvlJc w:val="left"/>
      <w:pPr>
        <w:ind w:left="3612" w:hanging="720"/>
      </w:pPr>
      <w:rPr>
        <w:rFonts w:hint="default"/>
      </w:rPr>
    </w:lvl>
    <w:lvl w:ilvl="3">
      <w:start w:val="1"/>
      <w:numFmt w:val="decimal"/>
      <w:lvlText w:val="%1.%2.%3.%4"/>
      <w:lvlJc w:val="left"/>
      <w:pPr>
        <w:ind w:left="5418" w:hanging="108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670" w:hanging="1440"/>
      </w:pPr>
      <w:rPr>
        <w:rFonts w:hint="default"/>
      </w:rPr>
    </w:lvl>
    <w:lvl w:ilvl="6">
      <w:start w:val="1"/>
      <w:numFmt w:val="decimal"/>
      <w:lvlText w:val="%1.%2.%3.%4.%5.%6.%7"/>
      <w:lvlJc w:val="left"/>
      <w:pPr>
        <w:ind w:left="10116" w:hanging="1440"/>
      </w:pPr>
      <w:rPr>
        <w:rFonts w:hint="default"/>
      </w:rPr>
    </w:lvl>
    <w:lvl w:ilvl="7">
      <w:start w:val="1"/>
      <w:numFmt w:val="decimal"/>
      <w:lvlText w:val="%1.%2.%3.%4.%5.%6.%7.%8"/>
      <w:lvlJc w:val="left"/>
      <w:pPr>
        <w:ind w:left="11922" w:hanging="1800"/>
      </w:pPr>
      <w:rPr>
        <w:rFonts w:hint="default"/>
      </w:rPr>
    </w:lvl>
    <w:lvl w:ilvl="8">
      <w:start w:val="1"/>
      <w:numFmt w:val="decimal"/>
      <w:lvlText w:val="%1.%2.%3.%4.%5.%6.%7.%8.%9"/>
      <w:lvlJc w:val="left"/>
      <w:pPr>
        <w:ind w:left="13368" w:hanging="1800"/>
      </w:pPr>
      <w:rPr>
        <w:rFonts w:hint="default"/>
      </w:rPr>
    </w:lvl>
  </w:abstractNum>
  <w:abstractNum w:abstractNumId="136">
    <w:nsid w:val="66F62679"/>
    <w:multiLevelType w:val="multilevel"/>
    <w:tmpl w:val="F5601F4A"/>
    <w:lvl w:ilvl="0">
      <w:start w:val="2"/>
      <w:numFmt w:val="decimal"/>
      <w:lvlText w:val="%1.1"/>
      <w:lvlJc w:val="left"/>
      <w:pPr>
        <w:ind w:left="360" w:hanging="360"/>
      </w:pPr>
      <w:rPr>
        <w:rFonts w:hint="default"/>
      </w:rPr>
    </w:lvl>
    <w:lvl w:ilvl="1">
      <w:start w:val="1"/>
      <w:numFmt w:val="none"/>
      <w:lvlText w:val="2.1"/>
      <w:lvlJc w:val="left"/>
      <w:pPr>
        <w:ind w:left="360" w:hanging="360"/>
      </w:pPr>
      <w:rPr>
        <w:rFonts w:hint="default"/>
      </w:rPr>
    </w:lvl>
    <w:lvl w:ilvl="2">
      <w:start w:val="2"/>
      <w:numFmt w:val="decimal"/>
      <w:lvlText w:val="%3.0"/>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7">
    <w:nsid w:val="67A204B5"/>
    <w:multiLevelType w:val="hybridMultilevel"/>
    <w:tmpl w:val="A5BEE988"/>
    <w:lvl w:ilvl="0" w:tplc="D4FC6B62">
      <w:numFmt w:val="decimal"/>
      <w:lvlText w:val="2.7%1"/>
      <w:lvlJc w:val="center"/>
      <w:pPr>
        <w:ind w:left="144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nsid w:val="680C64CA"/>
    <w:multiLevelType w:val="hybridMultilevel"/>
    <w:tmpl w:val="F11A0DFA"/>
    <w:lvl w:ilvl="0" w:tplc="AE28B822">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nsid w:val="68CF13CB"/>
    <w:multiLevelType w:val="multilevel"/>
    <w:tmpl w:val="F2869048"/>
    <w:lvl w:ilvl="0">
      <w:start w:val="2"/>
      <w:numFmt w:val="decimal"/>
      <w:lvlText w:val="%1"/>
      <w:lvlJc w:val="left"/>
      <w:pPr>
        <w:ind w:left="465" w:hanging="465"/>
      </w:pPr>
      <w:rPr>
        <w:rFonts w:hint="default"/>
      </w:rPr>
    </w:lvl>
    <w:lvl w:ilvl="1">
      <w:start w:val="4"/>
      <w:numFmt w:val="decimal"/>
      <w:lvlText w:val="2.5%2"/>
      <w:lvlJc w:val="center"/>
      <w:pPr>
        <w:ind w:left="607"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0">
    <w:nsid w:val="69511311"/>
    <w:multiLevelType w:val="hybridMultilevel"/>
    <w:tmpl w:val="65C82F56"/>
    <w:lvl w:ilvl="0" w:tplc="AE28B822">
      <w:start w:val="1"/>
      <w:numFmt w:val="decimal"/>
      <w:lvlText w:val="2.3%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1">
    <w:nsid w:val="69D314FB"/>
    <w:multiLevelType w:val="hybridMultilevel"/>
    <w:tmpl w:val="29E45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6A9A5BCC"/>
    <w:multiLevelType w:val="hybridMultilevel"/>
    <w:tmpl w:val="98D6C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B0D0E1B"/>
    <w:multiLevelType w:val="multilevel"/>
    <w:tmpl w:val="57A49E20"/>
    <w:lvl w:ilvl="0">
      <w:start w:val="2"/>
      <w:numFmt w:val="decimal"/>
      <w:lvlText w:val="%1"/>
      <w:lvlJc w:val="left"/>
      <w:pPr>
        <w:ind w:left="465" w:hanging="465"/>
      </w:pPr>
      <w:rPr>
        <w:rFonts w:hint="default"/>
      </w:rPr>
    </w:lvl>
    <w:lvl w:ilvl="1">
      <w:start w:val="39"/>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44">
    <w:nsid w:val="6B1C5C51"/>
    <w:multiLevelType w:val="multilevel"/>
    <w:tmpl w:val="9EA8F91C"/>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45">
    <w:nsid w:val="6B6C54A9"/>
    <w:multiLevelType w:val="hybridMultilevel"/>
    <w:tmpl w:val="2E2C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C677E4E"/>
    <w:multiLevelType w:val="hybridMultilevel"/>
    <w:tmpl w:val="81064EE2"/>
    <w:lvl w:ilvl="0" w:tplc="0186E41E">
      <w:start w:val="5"/>
      <w:numFmt w:val="decimal"/>
      <w:lvlText w:val="2.5%1"/>
      <w:lvlJc w:val="center"/>
      <w:pPr>
        <w:ind w:left="164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nsid w:val="6DCD3343"/>
    <w:multiLevelType w:val="hybridMultilevel"/>
    <w:tmpl w:val="0D68A50E"/>
    <w:lvl w:ilvl="0" w:tplc="5CF6AB88">
      <w:numFmt w:val="decimal"/>
      <w:lvlText w:val="2.7%1"/>
      <w:lvlJc w:val="center"/>
      <w:pPr>
        <w:ind w:left="144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nsid w:val="6DF92789"/>
    <w:multiLevelType w:val="hybridMultilevel"/>
    <w:tmpl w:val="8BAE0F44"/>
    <w:lvl w:ilvl="0" w:tplc="04E66AA4">
      <w:numFmt w:val="decimal"/>
      <w:lvlText w:val="2.4%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nsid w:val="70FD74E6"/>
    <w:multiLevelType w:val="multilevel"/>
    <w:tmpl w:val="E0A4A226"/>
    <w:lvl w:ilvl="0">
      <w:start w:val="2"/>
      <w:numFmt w:val="decimal"/>
      <w:lvlText w:val="%1.0"/>
      <w:lvlJc w:val="left"/>
      <w:pPr>
        <w:ind w:left="405" w:hanging="405"/>
      </w:pPr>
      <w:rPr>
        <w:rFonts w:hint="default"/>
        <w:b/>
      </w:rPr>
    </w:lvl>
    <w:lvl w:ilvl="1">
      <w:start w:val="1"/>
      <w:numFmt w:val="decimal"/>
      <w:lvlText w:val="2.4%2"/>
      <w:lvlJc w:val="left"/>
      <w:pPr>
        <w:ind w:left="111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0">
    <w:nsid w:val="72E16322"/>
    <w:multiLevelType w:val="multilevel"/>
    <w:tmpl w:val="3350E7E2"/>
    <w:lvl w:ilvl="0">
      <w:start w:val="2"/>
      <w:numFmt w:val="decimal"/>
      <w:lvlText w:val="%1"/>
      <w:lvlJc w:val="left"/>
      <w:pPr>
        <w:ind w:left="465" w:hanging="465"/>
      </w:pPr>
      <w:rPr>
        <w:rFonts w:hint="default"/>
      </w:rPr>
    </w:lvl>
    <w:lvl w:ilvl="1">
      <w:start w:val="37"/>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1">
    <w:nsid w:val="734E3C33"/>
    <w:multiLevelType w:val="hybridMultilevel"/>
    <w:tmpl w:val="102AA1D8"/>
    <w:lvl w:ilvl="0" w:tplc="BD584EAC">
      <w:start w:val="1"/>
      <w:numFmt w:val="decimal"/>
      <w:lvlText w:val="3.%1"/>
      <w:lvlJc w:val="left"/>
      <w:pPr>
        <w:ind w:left="7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nsid w:val="73B00AEF"/>
    <w:multiLevelType w:val="multilevel"/>
    <w:tmpl w:val="D586FA88"/>
    <w:lvl w:ilvl="0">
      <w:start w:val="2"/>
      <w:numFmt w:val="decimal"/>
      <w:lvlText w:val="%1"/>
      <w:lvlJc w:val="left"/>
      <w:pPr>
        <w:ind w:left="465" w:hanging="465"/>
      </w:pPr>
      <w:rPr>
        <w:rFonts w:hint="default"/>
      </w:rPr>
    </w:lvl>
    <w:lvl w:ilvl="1">
      <w:start w:val="8"/>
      <w:numFmt w:val="decimal"/>
      <w:lvlText w:val="2.3%2"/>
      <w:lvlJc w:val="left"/>
      <w:pPr>
        <w:ind w:left="749" w:hanging="46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53">
    <w:nsid w:val="73F31318"/>
    <w:multiLevelType w:val="multilevel"/>
    <w:tmpl w:val="64A8E084"/>
    <w:lvl w:ilvl="0">
      <w:start w:val="2"/>
      <w:numFmt w:val="decimal"/>
      <w:lvlText w:val="%1"/>
      <w:lvlJc w:val="left"/>
      <w:pPr>
        <w:ind w:left="465" w:hanging="465"/>
      </w:pPr>
      <w:rPr>
        <w:rFonts w:hint="default"/>
      </w:rPr>
    </w:lvl>
    <w:lvl w:ilvl="1">
      <w:start w:val="5"/>
      <w:numFmt w:val="decimal"/>
      <w:lvlText w:val="%1.%2"/>
      <w:lvlJc w:val="left"/>
      <w:pPr>
        <w:ind w:left="891" w:hanging="465"/>
      </w:pPr>
      <w:rPr>
        <w:rFonts w:hint="default"/>
        <w:b w:val="0"/>
      </w:rPr>
    </w:lvl>
    <w:lvl w:ilvl="2">
      <w:start w:val="1"/>
      <w:numFmt w:val="decimal"/>
      <w:lvlText w:val="%1.%2.%3"/>
      <w:lvlJc w:val="left"/>
      <w:pPr>
        <w:ind w:left="1134" w:hanging="720"/>
      </w:pPr>
      <w:rPr>
        <w:rFonts w:hint="default"/>
      </w:rPr>
    </w:lvl>
    <w:lvl w:ilvl="3">
      <w:start w:val="1"/>
      <w:numFmt w:val="decimal"/>
      <w:lvlText w:val="%1.%2.%3.%4"/>
      <w:lvlJc w:val="left"/>
      <w:pPr>
        <w:ind w:left="1701" w:hanging="108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475" w:hanging="144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3249" w:hanging="1800"/>
      </w:pPr>
      <w:rPr>
        <w:rFonts w:hint="default"/>
      </w:rPr>
    </w:lvl>
    <w:lvl w:ilvl="8">
      <w:start w:val="1"/>
      <w:numFmt w:val="decimal"/>
      <w:lvlText w:val="%1.%2.%3.%4.%5.%6.%7.%8.%9"/>
      <w:lvlJc w:val="left"/>
      <w:pPr>
        <w:ind w:left="3456" w:hanging="1800"/>
      </w:pPr>
      <w:rPr>
        <w:rFonts w:hint="default"/>
      </w:rPr>
    </w:lvl>
  </w:abstractNum>
  <w:abstractNum w:abstractNumId="154">
    <w:nsid w:val="753F34F1"/>
    <w:multiLevelType w:val="multilevel"/>
    <w:tmpl w:val="BCA45216"/>
    <w:lvl w:ilvl="0">
      <w:start w:val="2"/>
      <w:numFmt w:val="decimal"/>
      <w:lvlText w:val="%1.0"/>
      <w:lvlJc w:val="left"/>
      <w:pPr>
        <w:ind w:left="831" w:hanging="405"/>
      </w:pPr>
      <w:rPr>
        <w:rFonts w:hint="default"/>
        <w:b/>
      </w:rPr>
    </w:lvl>
    <w:lvl w:ilvl="1">
      <w:start w:val="7"/>
      <w:numFmt w:val="decimal"/>
      <w:lvlText w:val="2.4%2"/>
      <w:lvlJc w:val="left"/>
      <w:pPr>
        <w:ind w:left="111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5">
    <w:nsid w:val="75614FD7"/>
    <w:multiLevelType w:val="multilevel"/>
    <w:tmpl w:val="57A267CC"/>
    <w:lvl w:ilvl="0">
      <w:start w:val="2"/>
      <w:numFmt w:val="decimal"/>
      <w:lvlText w:val="%1"/>
      <w:lvlJc w:val="left"/>
      <w:pPr>
        <w:ind w:left="465" w:hanging="465"/>
      </w:pPr>
      <w:rPr>
        <w:rFonts w:hint="default"/>
      </w:rPr>
    </w:lvl>
    <w:lvl w:ilvl="1">
      <w:start w:val="7"/>
      <w:numFmt w:val="none"/>
      <w:lvlText w:val="2.20"/>
      <w:lvlJc w:val="center"/>
      <w:pPr>
        <w:ind w:left="749" w:hanging="46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56">
    <w:nsid w:val="76031BCE"/>
    <w:multiLevelType w:val="multilevel"/>
    <w:tmpl w:val="5E78B25E"/>
    <w:lvl w:ilvl="0">
      <w:start w:val="2"/>
      <w:numFmt w:val="decimal"/>
      <w:lvlText w:val="%1.0"/>
      <w:lvlJc w:val="left"/>
      <w:pPr>
        <w:ind w:left="405" w:hanging="405"/>
      </w:pPr>
      <w:rPr>
        <w:rFonts w:hint="default"/>
        <w:b/>
      </w:rPr>
    </w:lvl>
    <w:lvl w:ilvl="1">
      <w:start w:val="4"/>
      <w:numFmt w:val="decimal"/>
      <w:lvlText w:val="2.3%2"/>
      <w:lvlJc w:val="center"/>
      <w:pPr>
        <w:ind w:left="547"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7">
    <w:nsid w:val="7613116F"/>
    <w:multiLevelType w:val="hybridMultilevel"/>
    <w:tmpl w:val="8196F92E"/>
    <w:lvl w:ilvl="0" w:tplc="C53C4022">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76D4622B"/>
    <w:multiLevelType w:val="hybridMultilevel"/>
    <w:tmpl w:val="CE226CB6"/>
    <w:lvl w:ilvl="0" w:tplc="08090017">
      <w:start w:val="1"/>
      <w:numFmt w:val="lowerLetter"/>
      <w:lvlText w:val="%1)"/>
      <w:lvlJc w:val="left"/>
      <w:pPr>
        <w:ind w:left="1080" w:hanging="360"/>
      </w:pPr>
      <w:rPr>
        <w:rFonts w:hint="default"/>
        <w:b w:val="0"/>
        <w:sz w:val="24"/>
        <w:szCs w:val="24"/>
      </w:rPr>
    </w:lvl>
    <w:lvl w:ilvl="1" w:tplc="08090019">
      <w:start w:val="1"/>
      <w:numFmt w:val="lowerLetter"/>
      <w:lvlText w:val="%2."/>
      <w:lvlJc w:val="left"/>
      <w:pPr>
        <w:ind w:left="1734" w:hanging="360"/>
      </w:pPr>
    </w:lvl>
    <w:lvl w:ilvl="2" w:tplc="CF8A885E">
      <w:numFmt w:val="bullet"/>
      <w:lvlText w:val="•"/>
      <w:lvlJc w:val="left"/>
      <w:pPr>
        <w:ind w:left="3294" w:hanging="1020"/>
      </w:pPr>
      <w:rPr>
        <w:rFonts w:ascii="Arial" w:eastAsia="Times New Roman" w:hAnsi="Arial" w:cs="Arial" w:hint="default"/>
      </w:r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159">
    <w:nsid w:val="76FD1A34"/>
    <w:multiLevelType w:val="hybridMultilevel"/>
    <w:tmpl w:val="C8B8F962"/>
    <w:lvl w:ilvl="0" w:tplc="253834CC">
      <w:start w:val="3"/>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nsid w:val="7781703A"/>
    <w:multiLevelType w:val="hybridMultilevel"/>
    <w:tmpl w:val="7324CE84"/>
    <w:lvl w:ilvl="0" w:tplc="2C38D10A">
      <w:start w:val="1"/>
      <w:numFmt w:val="decimal"/>
      <w:lvlText w:val="5.%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nsid w:val="77BB0786"/>
    <w:multiLevelType w:val="multilevel"/>
    <w:tmpl w:val="BDB429C4"/>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2">
    <w:nsid w:val="77D87625"/>
    <w:multiLevelType w:val="hybridMultilevel"/>
    <w:tmpl w:val="5F524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8094ACA"/>
    <w:multiLevelType w:val="multilevel"/>
    <w:tmpl w:val="38E87DE6"/>
    <w:lvl w:ilvl="0">
      <w:start w:val="2"/>
      <w:numFmt w:val="none"/>
      <w:lvlText w:val="1.2"/>
      <w:lvlJc w:val="left"/>
      <w:pPr>
        <w:ind w:left="405" w:hanging="405"/>
      </w:pPr>
      <w:rPr>
        <w:rFonts w:hint="default"/>
        <w:b/>
      </w:rPr>
    </w:lvl>
    <w:lvl w:ilvl="1">
      <w:start w:val="2"/>
      <w:numFmt w:val="decimal"/>
      <w:lvlText w:val="1.%2"/>
      <w:lvlJc w:val="left"/>
      <w:pPr>
        <w:ind w:left="624" w:hanging="198"/>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4">
    <w:nsid w:val="79353C83"/>
    <w:multiLevelType w:val="multilevel"/>
    <w:tmpl w:val="3BFEF7CE"/>
    <w:lvl w:ilvl="0">
      <w:start w:val="2"/>
      <w:numFmt w:val="decimal"/>
      <w:lvlText w:val="%1"/>
      <w:lvlJc w:val="left"/>
      <w:pPr>
        <w:ind w:left="468" w:hanging="468"/>
      </w:pPr>
      <w:rPr>
        <w:rFonts w:hint="default"/>
      </w:rPr>
    </w:lvl>
    <w:lvl w:ilvl="1">
      <w:start w:val="30"/>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5">
    <w:nsid w:val="7A6716CE"/>
    <w:multiLevelType w:val="multilevel"/>
    <w:tmpl w:val="D63A2088"/>
    <w:lvl w:ilvl="0">
      <w:start w:val="2"/>
      <w:numFmt w:val="decimal"/>
      <w:lvlText w:val="%1"/>
      <w:lvlJc w:val="left"/>
      <w:pPr>
        <w:ind w:left="468" w:hanging="468"/>
      </w:pPr>
      <w:rPr>
        <w:rFonts w:hint="default"/>
      </w:rPr>
    </w:lvl>
    <w:lvl w:ilvl="1">
      <w:start w:val="59"/>
      <w:numFmt w:val="decimal"/>
      <w:lvlText w:val="%1.23"/>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6">
    <w:nsid w:val="7BB654A6"/>
    <w:multiLevelType w:val="hybridMultilevel"/>
    <w:tmpl w:val="2EEC958C"/>
    <w:lvl w:ilvl="0" w:tplc="5CC6B41A">
      <w:start w:val="9"/>
      <w:numFmt w:val="decimal"/>
      <w:lvlText w:val="2.6%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7C0111B9"/>
    <w:multiLevelType w:val="hybridMultilevel"/>
    <w:tmpl w:val="74B60750"/>
    <w:lvl w:ilvl="0" w:tplc="06CC1C2A">
      <w:start w:val="1"/>
      <w:numFmt w:val="decimal"/>
      <w:lvlText w:val="3.%1"/>
      <w:lvlJc w:val="left"/>
      <w:pPr>
        <w:ind w:left="928" w:hanging="360"/>
      </w:pPr>
      <w:rPr>
        <w:rFonts w:hint="default"/>
        <w:b w:val="0"/>
        <w:color w:val="000000" w:themeColor="text1"/>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68">
    <w:nsid w:val="7C18029B"/>
    <w:multiLevelType w:val="hybridMultilevel"/>
    <w:tmpl w:val="3612C07A"/>
    <w:lvl w:ilvl="0" w:tplc="4D123460">
      <w:start w:val="1"/>
      <w:numFmt w:val="decimal"/>
      <w:lvlText w:val="3.1%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9">
    <w:nsid w:val="7C552919"/>
    <w:multiLevelType w:val="hybridMultilevel"/>
    <w:tmpl w:val="B582CC2E"/>
    <w:lvl w:ilvl="0" w:tplc="1654D740">
      <w:start w:val="1"/>
      <w:numFmt w:val="decimal"/>
      <w:lvlText w:val="2.4%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0">
    <w:nsid w:val="7D8A6B42"/>
    <w:multiLevelType w:val="hybridMultilevel"/>
    <w:tmpl w:val="7F30ECCC"/>
    <w:lvl w:ilvl="0" w:tplc="914697BC">
      <w:start w:val="2"/>
      <w:numFmt w:val="decimal"/>
      <w:lvlText w:val="2.7%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7E8B6D3E"/>
    <w:multiLevelType w:val="hybridMultilevel"/>
    <w:tmpl w:val="74AEA1B4"/>
    <w:lvl w:ilvl="0" w:tplc="9CD2B644">
      <w:start w:val="8"/>
      <w:numFmt w:val="decimal"/>
      <w:lvlText w:val="2.4%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nsid w:val="7EFC6E6A"/>
    <w:multiLevelType w:val="hybridMultilevel"/>
    <w:tmpl w:val="B4549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F1F2041"/>
    <w:multiLevelType w:val="multilevel"/>
    <w:tmpl w:val="30B620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4">
    <w:nsid w:val="7F635DBD"/>
    <w:multiLevelType w:val="multilevel"/>
    <w:tmpl w:val="8C400D20"/>
    <w:lvl w:ilvl="0">
      <w:start w:val="2"/>
      <w:numFmt w:val="decimal"/>
      <w:lvlText w:val="%1"/>
      <w:lvlJc w:val="left"/>
      <w:pPr>
        <w:ind w:left="465" w:hanging="465"/>
      </w:pPr>
      <w:rPr>
        <w:rFonts w:hint="default"/>
      </w:rPr>
    </w:lvl>
    <w:lvl w:ilvl="1">
      <w:start w:val="2"/>
      <w:numFmt w:val="decimal"/>
      <w:lvlText w:val="2.5%2"/>
      <w:lvlJc w:val="center"/>
      <w:pPr>
        <w:ind w:left="749" w:hanging="46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num w:numId="1">
    <w:abstractNumId w:val="161"/>
  </w:num>
  <w:num w:numId="2">
    <w:abstractNumId w:val="158"/>
  </w:num>
  <w:num w:numId="3">
    <w:abstractNumId w:val="6"/>
  </w:num>
  <w:num w:numId="4">
    <w:abstractNumId w:val="163"/>
  </w:num>
  <w:num w:numId="5">
    <w:abstractNumId w:val="97"/>
  </w:num>
  <w:num w:numId="6">
    <w:abstractNumId w:val="50"/>
  </w:num>
  <w:num w:numId="7">
    <w:abstractNumId w:val="80"/>
  </w:num>
  <w:num w:numId="8">
    <w:abstractNumId w:val="4"/>
  </w:num>
  <w:num w:numId="9">
    <w:abstractNumId w:val="85"/>
  </w:num>
  <w:num w:numId="10">
    <w:abstractNumId w:val="42"/>
  </w:num>
  <w:num w:numId="11">
    <w:abstractNumId w:val="88"/>
  </w:num>
  <w:num w:numId="12">
    <w:abstractNumId w:val="15"/>
  </w:num>
  <w:num w:numId="13">
    <w:abstractNumId w:val="7"/>
  </w:num>
  <w:num w:numId="14">
    <w:abstractNumId w:val="70"/>
  </w:num>
  <w:num w:numId="15">
    <w:abstractNumId w:val="102"/>
  </w:num>
  <w:num w:numId="16">
    <w:abstractNumId w:val="74"/>
  </w:num>
  <w:num w:numId="17">
    <w:abstractNumId w:val="34"/>
  </w:num>
  <w:num w:numId="18">
    <w:abstractNumId w:val="151"/>
  </w:num>
  <w:num w:numId="19">
    <w:abstractNumId w:val="46"/>
  </w:num>
  <w:num w:numId="20">
    <w:abstractNumId w:val="162"/>
  </w:num>
  <w:num w:numId="21">
    <w:abstractNumId w:val="104"/>
  </w:num>
  <w:num w:numId="22">
    <w:abstractNumId w:val="10"/>
  </w:num>
  <w:num w:numId="23">
    <w:abstractNumId w:val="122"/>
  </w:num>
  <w:num w:numId="24">
    <w:abstractNumId w:val="129"/>
  </w:num>
  <w:num w:numId="25">
    <w:abstractNumId w:val="58"/>
  </w:num>
  <w:num w:numId="26">
    <w:abstractNumId w:val="107"/>
  </w:num>
  <w:num w:numId="27">
    <w:abstractNumId w:val="37"/>
  </w:num>
  <w:num w:numId="28">
    <w:abstractNumId w:val="96"/>
  </w:num>
  <w:num w:numId="29">
    <w:abstractNumId w:val="13"/>
  </w:num>
  <w:num w:numId="30">
    <w:abstractNumId w:val="167"/>
  </w:num>
  <w:num w:numId="31">
    <w:abstractNumId w:val="157"/>
  </w:num>
  <w:num w:numId="32">
    <w:abstractNumId w:val="159"/>
  </w:num>
  <w:num w:numId="33">
    <w:abstractNumId w:val="119"/>
  </w:num>
  <w:num w:numId="34">
    <w:abstractNumId w:val="89"/>
  </w:num>
  <w:num w:numId="35">
    <w:abstractNumId w:val="135"/>
  </w:num>
  <w:num w:numId="36">
    <w:abstractNumId w:val="71"/>
  </w:num>
  <w:num w:numId="37">
    <w:abstractNumId w:val="110"/>
  </w:num>
  <w:num w:numId="38">
    <w:abstractNumId w:val="31"/>
  </w:num>
  <w:num w:numId="39">
    <w:abstractNumId w:val="1"/>
  </w:num>
  <w:num w:numId="40">
    <w:abstractNumId w:val="152"/>
  </w:num>
  <w:num w:numId="41">
    <w:abstractNumId w:val="32"/>
  </w:num>
  <w:num w:numId="42">
    <w:abstractNumId w:val="91"/>
  </w:num>
  <w:num w:numId="43">
    <w:abstractNumId w:val="140"/>
  </w:num>
  <w:num w:numId="44">
    <w:abstractNumId w:val="138"/>
  </w:num>
  <w:num w:numId="45">
    <w:abstractNumId w:val="150"/>
  </w:num>
  <w:num w:numId="46">
    <w:abstractNumId w:val="142"/>
  </w:num>
  <w:num w:numId="47">
    <w:abstractNumId w:val="82"/>
  </w:num>
  <w:num w:numId="48">
    <w:abstractNumId w:val="27"/>
  </w:num>
  <w:num w:numId="49">
    <w:abstractNumId w:val="19"/>
  </w:num>
  <w:num w:numId="50">
    <w:abstractNumId w:val="126"/>
  </w:num>
  <w:num w:numId="51">
    <w:abstractNumId w:val="53"/>
  </w:num>
  <w:num w:numId="52">
    <w:abstractNumId w:val="146"/>
  </w:num>
  <w:num w:numId="53">
    <w:abstractNumId w:val="136"/>
  </w:num>
  <w:num w:numId="54">
    <w:abstractNumId w:val="33"/>
  </w:num>
  <w:num w:numId="55">
    <w:abstractNumId w:val="28"/>
  </w:num>
  <w:num w:numId="56">
    <w:abstractNumId w:val="109"/>
  </w:num>
  <w:num w:numId="57">
    <w:abstractNumId w:val="100"/>
  </w:num>
  <w:num w:numId="58">
    <w:abstractNumId w:val="29"/>
  </w:num>
  <w:num w:numId="59">
    <w:abstractNumId w:val="168"/>
  </w:num>
  <w:num w:numId="60">
    <w:abstractNumId w:val="75"/>
  </w:num>
  <w:num w:numId="61">
    <w:abstractNumId w:val="94"/>
  </w:num>
  <w:num w:numId="62">
    <w:abstractNumId w:val="79"/>
  </w:num>
  <w:num w:numId="63">
    <w:abstractNumId w:val="43"/>
  </w:num>
  <w:num w:numId="64">
    <w:abstractNumId w:val="153"/>
  </w:num>
  <w:num w:numId="65">
    <w:abstractNumId w:val="64"/>
  </w:num>
  <w:num w:numId="66">
    <w:abstractNumId w:val="11"/>
  </w:num>
  <w:num w:numId="67">
    <w:abstractNumId w:val="156"/>
  </w:num>
  <w:num w:numId="68">
    <w:abstractNumId w:val="169"/>
  </w:num>
  <w:num w:numId="69">
    <w:abstractNumId w:val="51"/>
  </w:num>
  <w:num w:numId="70">
    <w:abstractNumId w:val="66"/>
  </w:num>
  <w:num w:numId="71">
    <w:abstractNumId w:val="87"/>
  </w:num>
  <w:num w:numId="72">
    <w:abstractNumId w:val="143"/>
  </w:num>
  <w:num w:numId="73">
    <w:abstractNumId w:val="155"/>
  </w:num>
  <w:num w:numId="74">
    <w:abstractNumId w:val="90"/>
  </w:num>
  <w:num w:numId="75">
    <w:abstractNumId w:val="99"/>
  </w:num>
  <w:num w:numId="76">
    <w:abstractNumId w:val="16"/>
  </w:num>
  <w:num w:numId="77">
    <w:abstractNumId w:val="52"/>
  </w:num>
  <w:num w:numId="78">
    <w:abstractNumId w:val="62"/>
  </w:num>
  <w:num w:numId="79">
    <w:abstractNumId w:val="149"/>
  </w:num>
  <w:num w:numId="80">
    <w:abstractNumId w:val="133"/>
  </w:num>
  <w:num w:numId="81">
    <w:abstractNumId w:val="174"/>
  </w:num>
  <w:num w:numId="82">
    <w:abstractNumId w:val="124"/>
  </w:num>
  <w:num w:numId="83">
    <w:abstractNumId w:val="48"/>
  </w:num>
  <w:num w:numId="84">
    <w:abstractNumId w:val="148"/>
  </w:num>
  <w:num w:numId="85">
    <w:abstractNumId w:val="76"/>
  </w:num>
  <w:num w:numId="86">
    <w:abstractNumId w:val="67"/>
  </w:num>
  <w:num w:numId="87">
    <w:abstractNumId w:val="56"/>
  </w:num>
  <w:num w:numId="88">
    <w:abstractNumId w:val="172"/>
  </w:num>
  <w:num w:numId="89">
    <w:abstractNumId w:val="154"/>
  </w:num>
  <w:num w:numId="90">
    <w:abstractNumId w:val="39"/>
  </w:num>
  <w:num w:numId="91">
    <w:abstractNumId w:val="36"/>
  </w:num>
  <w:num w:numId="92">
    <w:abstractNumId w:val="49"/>
  </w:num>
  <w:num w:numId="93">
    <w:abstractNumId w:val="118"/>
  </w:num>
  <w:num w:numId="94">
    <w:abstractNumId w:val="45"/>
  </w:num>
  <w:num w:numId="95">
    <w:abstractNumId w:val="92"/>
  </w:num>
  <w:num w:numId="96">
    <w:abstractNumId w:val="141"/>
  </w:num>
  <w:num w:numId="97">
    <w:abstractNumId w:val="115"/>
  </w:num>
  <w:num w:numId="98">
    <w:abstractNumId w:val="98"/>
  </w:num>
  <w:num w:numId="99">
    <w:abstractNumId w:val="106"/>
  </w:num>
  <w:num w:numId="100">
    <w:abstractNumId w:val="72"/>
  </w:num>
  <w:num w:numId="101">
    <w:abstractNumId w:val="125"/>
  </w:num>
  <w:num w:numId="102">
    <w:abstractNumId w:val="139"/>
  </w:num>
  <w:num w:numId="103">
    <w:abstractNumId w:val="38"/>
  </w:num>
  <w:num w:numId="104">
    <w:abstractNumId w:val="101"/>
  </w:num>
  <w:num w:numId="105">
    <w:abstractNumId w:val="65"/>
  </w:num>
  <w:num w:numId="106">
    <w:abstractNumId w:val="63"/>
  </w:num>
  <w:num w:numId="107">
    <w:abstractNumId w:val="83"/>
  </w:num>
  <w:num w:numId="108">
    <w:abstractNumId w:val="14"/>
  </w:num>
  <w:num w:numId="109">
    <w:abstractNumId w:val="24"/>
  </w:num>
  <w:num w:numId="110">
    <w:abstractNumId w:val="137"/>
  </w:num>
  <w:num w:numId="111">
    <w:abstractNumId w:val="145"/>
  </w:num>
  <w:num w:numId="112">
    <w:abstractNumId w:val="147"/>
  </w:num>
  <w:num w:numId="113">
    <w:abstractNumId w:val="9"/>
  </w:num>
  <w:num w:numId="114">
    <w:abstractNumId w:val="130"/>
  </w:num>
  <w:num w:numId="115">
    <w:abstractNumId w:val="54"/>
  </w:num>
  <w:num w:numId="116">
    <w:abstractNumId w:val="117"/>
  </w:num>
  <w:num w:numId="117">
    <w:abstractNumId w:val="61"/>
  </w:num>
  <w:num w:numId="118">
    <w:abstractNumId w:val="2"/>
  </w:num>
  <w:num w:numId="119">
    <w:abstractNumId w:val="69"/>
  </w:num>
  <w:num w:numId="120">
    <w:abstractNumId w:val="108"/>
  </w:num>
  <w:num w:numId="121">
    <w:abstractNumId w:val="166"/>
  </w:num>
  <w:num w:numId="122">
    <w:abstractNumId w:val="171"/>
  </w:num>
  <w:num w:numId="123">
    <w:abstractNumId w:val="112"/>
  </w:num>
  <w:num w:numId="124">
    <w:abstractNumId w:val="25"/>
  </w:num>
  <w:num w:numId="125">
    <w:abstractNumId w:val="113"/>
  </w:num>
  <w:num w:numId="126">
    <w:abstractNumId w:val="170"/>
  </w:num>
  <w:num w:numId="127">
    <w:abstractNumId w:val="160"/>
  </w:num>
  <w:num w:numId="128">
    <w:abstractNumId w:val="123"/>
  </w:num>
  <w:num w:numId="129">
    <w:abstractNumId w:val="93"/>
  </w:num>
  <w:num w:numId="130">
    <w:abstractNumId w:val="121"/>
  </w:num>
  <w:num w:numId="131">
    <w:abstractNumId w:val="132"/>
  </w:num>
  <w:num w:numId="132">
    <w:abstractNumId w:val="57"/>
  </w:num>
  <w:num w:numId="133">
    <w:abstractNumId w:val="114"/>
  </w:num>
  <w:num w:numId="134">
    <w:abstractNumId w:val="59"/>
  </w:num>
  <w:num w:numId="135">
    <w:abstractNumId w:val="173"/>
  </w:num>
  <w:num w:numId="136">
    <w:abstractNumId w:val="21"/>
  </w:num>
  <w:num w:numId="137">
    <w:abstractNumId w:val="35"/>
  </w:num>
  <w:num w:numId="138">
    <w:abstractNumId w:val="144"/>
  </w:num>
  <w:num w:numId="139">
    <w:abstractNumId w:val="131"/>
  </w:num>
  <w:num w:numId="140">
    <w:abstractNumId w:val="5"/>
  </w:num>
  <w:num w:numId="141">
    <w:abstractNumId w:val="68"/>
  </w:num>
  <w:num w:numId="142">
    <w:abstractNumId w:val="40"/>
  </w:num>
  <w:num w:numId="143">
    <w:abstractNumId w:val="165"/>
  </w:num>
  <w:num w:numId="144">
    <w:abstractNumId w:val="127"/>
  </w:num>
  <w:num w:numId="145">
    <w:abstractNumId w:val="103"/>
  </w:num>
  <w:num w:numId="146">
    <w:abstractNumId w:val="47"/>
  </w:num>
  <w:num w:numId="147">
    <w:abstractNumId w:val="55"/>
  </w:num>
  <w:num w:numId="148">
    <w:abstractNumId w:val="20"/>
  </w:num>
  <w:num w:numId="149">
    <w:abstractNumId w:val="95"/>
  </w:num>
  <w:num w:numId="150">
    <w:abstractNumId w:val="111"/>
  </w:num>
  <w:num w:numId="151">
    <w:abstractNumId w:val="8"/>
  </w:num>
  <w:num w:numId="152">
    <w:abstractNumId w:val="116"/>
  </w:num>
  <w:num w:numId="153">
    <w:abstractNumId w:val="23"/>
  </w:num>
  <w:num w:numId="154">
    <w:abstractNumId w:val="60"/>
  </w:num>
  <w:num w:numId="155">
    <w:abstractNumId w:val="18"/>
  </w:num>
  <w:num w:numId="156">
    <w:abstractNumId w:val="84"/>
  </w:num>
  <w:num w:numId="157">
    <w:abstractNumId w:val="22"/>
  </w:num>
  <w:num w:numId="158">
    <w:abstractNumId w:val="128"/>
  </w:num>
  <w:num w:numId="159">
    <w:abstractNumId w:val="26"/>
  </w:num>
  <w:num w:numId="160">
    <w:abstractNumId w:val="3"/>
  </w:num>
  <w:num w:numId="161">
    <w:abstractNumId w:val="73"/>
  </w:num>
  <w:num w:numId="162">
    <w:abstractNumId w:val="77"/>
  </w:num>
  <w:num w:numId="163">
    <w:abstractNumId w:val="81"/>
  </w:num>
  <w:num w:numId="164">
    <w:abstractNumId w:val="12"/>
  </w:num>
  <w:num w:numId="165">
    <w:abstractNumId w:val="86"/>
  </w:num>
  <w:num w:numId="166">
    <w:abstractNumId w:val="120"/>
  </w:num>
  <w:num w:numId="167">
    <w:abstractNumId w:val="0"/>
  </w:num>
  <w:num w:numId="168">
    <w:abstractNumId w:val="78"/>
  </w:num>
  <w:num w:numId="169">
    <w:abstractNumId w:val="17"/>
  </w:num>
  <w:num w:numId="170">
    <w:abstractNumId w:val="105"/>
  </w:num>
  <w:num w:numId="171">
    <w:abstractNumId w:val="30"/>
  </w:num>
  <w:num w:numId="172">
    <w:abstractNumId w:val="41"/>
  </w:num>
  <w:num w:numId="173">
    <w:abstractNumId w:val="44"/>
  </w:num>
  <w:num w:numId="174">
    <w:abstractNumId w:val="164"/>
  </w:num>
  <w:num w:numId="175">
    <w:abstractNumId w:val="134"/>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9/01/2018 14:20"/>
  </w:docVars>
  <w:rsids>
    <w:rsidRoot w:val="00333FAA"/>
    <w:rsid w:val="0000089B"/>
    <w:rsid w:val="000013E8"/>
    <w:rsid w:val="00001D6F"/>
    <w:rsid w:val="00006F6F"/>
    <w:rsid w:val="00007814"/>
    <w:rsid w:val="00007960"/>
    <w:rsid w:val="000119C0"/>
    <w:rsid w:val="00011B67"/>
    <w:rsid w:val="0001210E"/>
    <w:rsid w:val="00012B11"/>
    <w:rsid w:val="00012D08"/>
    <w:rsid w:val="00012E47"/>
    <w:rsid w:val="000131B9"/>
    <w:rsid w:val="00014135"/>
    <w:rsid w:val="000148CC"/>
    <w:rsid w:val="00015265"/>
    <w:rsid w:val="000163EE"/>
    <w:rsid w:val="00017C91"/>
    <w:rsid w:val="000213E3"/>
    <w:rsid w:val="000217BC"/>
    <w:rsid w:val="0002225B"/>
    <w:rsid w:val="00022436"/>
    <w:rsid w:val="0002252A"/>
    <w:rsid w:val="00022EDA"/>
    <w:rsid w:val="0002314A"/>
    <w:rsid w:val="0002389B"/>
    <w:rsid w:val="00025ABE"/>
    <w:rsid w:val="00027425"/>
    <w:rsid w:val="0002799D"/>
    <w:rsid w:val="00030F86"/>
    <w:rsid w:val="00031795"/>
    <w:rsid w:val="00031C5C"/>
    <w:rsid w:val="00031FCC"/>
    <w:rsid w:val="0003318A"/>
    <w:rsid w:val="000370A6"/>
    <w:rsid w:val="00037475"/>
    <w:rsid w:val="00037BE0"/>
    <w:rsid w:val="0004029A"/>
    <w:rsid w:val="00040E4D"/>
    <w:rsid w:val="00042683"/>
    <w:rsid w:val="00042CD9"/>
    <w:rsid w:val="0004310D"/>
    <w:rsid w:val="00043F86"/>
    <w:rsid w:val="000445EC"/>
    <w:rsid w:val="00045FE8"/>
    <w:rsid w:val="00052222"/>
    <w:rsid w:val="00052558"/>
    <w:rsid w:val="00052FA8"/>
    <w:rsid w:val="00053B97"/>
    <w:rsid w:val="00053BAD"/>
    <w:rsid w:val="000555AB"/>
    <w:rsid w:val="000572B9"/>
    <w:rsid w:val="000579DE"/>
    <w:rsid w:val="00057CF2"/>
    <w:rsid w:val="0006034E"/>
    <w:rsid w:val="00060C44"/>
    <w:rsid w:val="000618FC"/>
    <w:rsid w:val="00061D7A"/>
    <w:rsid w:val="00061DF9"/>
    <w:rsid w:val="000621FA"/>
    <w:rsid w:val="00063078"/>
    <w:rsid w:val="00063783"/>
    <w:rsid w:val="00064800"/>
    <w:rsid w:val="000652E0"/>
    <w:rsid w:val="0006617F"/>
    <w:rsid w:val="0006687D"/>
    <w:rsid w:val="0006759A"/>
    <w:rsid w:val="000713BD"/>
    <w:rsid w:val="00071720"/>
    <w:rsid w:val="00072265"/>
    <w:rsid w:val="00072547"/>
    <w:rsid w:val="00072FA7"/>
    <w:rsid w:val="00073193"/>
    <w:rsid w:val="00073765"/>
    <w:rsid w:val="00073B44"/>
    <w:rsid w:val="00073D1A"/>
    <w:rsid w:val="00074137"/>
    <w:rsid w:val="000743C7"/>
    <w:rsid w:val="00076343"/>
    <w:rsid w:val="000773A9"/>
    <w:rsid w:val="000812B3"/>
    <w:rsid w:val="000817DC"/>
    <w:rsid w:val="000839D1"/>
    <w:rsid w:val="0008415C"/>
    <w:rsid w:val="00084B02"/>
    <w:rsid w:val="000874FD"/>
    <w:rsid w:val="00090038"/>
    <w:rsid w:val="00090086"/>
    <w:rsid w:val="00090F94"/>
    <w:rsid w:val="00091897"/>
    <w:rsid w:val="00091950"/>
    <w:rsid w:val="0009207E"/>
    <w:rsid w:val="00093438"/>
    <w:rsid w:val="000937DA"/>
    <w:rsid w:val="00094439"/>
    <w:rsid w:val="00094E7B"/>
    <w:rsid w:val="00094E90"/>
    <w:rsid w:val="00095755"/>
    <w:rsid w:val="00095A1A"/>
    <w:rsid w:val="00097294"/>
    <w:rsid w:val="00097587"/>
    <w:rsid w:val="000A0B39"/>
    <w:rsid w:val="000A0D08"/>
    <w:rsid w:val="000A1597"/>
    <w:rsid w:val="000A1736"/>
    <w:rsid w:val="000A1EAF"/>
    <w:rsid w:val="000A2CF3"/>
    <w:rsid w:val="000A32C8"/>
    <w:rsid w:val="000A3C5C"/>
    <w:rsid w:val="000A4437"/>
    <w:rsid w:val="000A47D1"/>
    <w:rsid w:val="000A5229"/>
    <w:rsid w:val="000A63BB"/>
    <w:rsid w:val="000A69F9"/>
    <w:rsid w:val="000A7F0F"/>
    <w:rsid w:val="000B0B9B"/>
    <w:rsid w:val="000B0E22"/>
    <w:rsid w:val="000B1112"/>
    <w:rsid w:val="000B20C5"/>
    <w:rsid w:val="000B215B"/>
    <w:rsid w:val="000B334B"/>
    <w:rsid w:val="000B59FF"/>
    <w:rsid w:val="000B5FC8"/>
    <w:rsid w:val="000B6B81"/>
    <w:rsid w:val="000B71CE"/>
    <w:rsid w:val="000B788F"/>
    <w:rsid w:val="000C088B"/>
    <w:rsid w:val="000C0919"/>
    <w:rsid w:val="000C11F1"/>
    <w:rsid w:val="000C15BE"/>
    <w:rsid w:val="000C1A07"/>
    <w:rsid w:val="000C4E78"/>
    <w:rsid w:val="000C69EC"/>
    <w:rsid w:val="000C72A8"/>
    <w:rsid w:val="000C7D67"/>
    <w:rsid w:val="000D08C3"/>
    <w:rsid w:val="000D325B"/>
    <w:rsid w:val="000D39D4"/>
    <w:rsid w:val="000D3AF9"/>
    <w:rsid w:val="000D4392"/>
    <w:rsid w:val="000D5959"/>
    <w:rsid w:val="000D5E55"/>
    <w:rsid w:val="000E14A4"/>
    <w:rsid w:val="000E5E42"/>
    <w:rsid w:val="000E70F4"/>
    <w:rsid w:val="000F0252"/>
    <w:rsid w:val="000F0621"/>
    <w:rsid w:val="000F145C"/>
    <w:rsid w:val="000F1625"/>
    <w:rsid w:val="000F2ACA"/>
    <w:rsid w:val="000F3096"/>
    <w:rsid w:val="000F3F11"/>
    <w:rsid w:val="000F57E6"/>
    <w:rsid w:val="000F5D6F"/>
    <w:rsid w:val="000F6E2C"/>
    <w:rsid w:val="000F7A5A"/>
    <w:rsid w:val="000F7B80"/>
    <w:rsid w:val="0010349E"/>
    <w:rsid w:val="00103C57"/>
    <w:rsid w:val="00103D6D"/>
    <w:rsid w:val="00105119"/>
    <w:rsid w:val="001058A6"/>
    <w:rsid w:val="00107852"/>
    <w:rsid w:val="00107AED"/>
    <w:rsid w:val="001101EE"/>
    <w:rsid w:val="001122DA"/>
    <w:rsid w:val="00112721"/>
    <w:rsid w:val="00113AD3"/>
    <w:rsid w:val="00113B0F"/>
    <w:rsid w:val="0011499A"/>
    <w:rsid w:val="00114F83"/>
    <w:rsid w:val="001161E4"/>
    <w:rsid w:val="00116D84"/>
    <w:rsid w:val="00116FF4"/>
    <w:rsid w:val="0011741A"/>
    <w:rsid w:val="00117ECE"/>
    <w:rsid w:val="00123FE5"/>
    <w:rsid w:val="001248DE"/>
    <w:rsid w:val="001250EA"/>
    <w:rsid w:val="00125A0A"/>
    <w:rsid w:val="00125A26"/>
    <w:rsid w:val="00127264"/>
    <w:rsid w:val="001305E1"/>
    <w:rsid w:val="00131454"/>
    <w:rsid w:val="00132BD9"/>
    <w:rsid w:val="00132CCF"/>
    <w:rsid w:val="0013304F"/>
    <w:rsid w:val="001347B9"/>
    <w:rsid w:val="00136214"/>
    <w:rsid w:val="00136732"/>
    <w:rsid w:val="001374CB"/>
    <w:rsid w:val="00140391"/>
    <w:rsid w:val="00142D08"/>
    <w:rsid w:val="001446AF"/>
    <w:rsid w:val="00144C1D"/>
    <w:rsid w:val="00145163"/>
    <w:rsid w:val="0014523E"/>
    <w:rsid w:val="0014629D"/>
    <w:rsid w:val="00146A7B"/>
    <w:rsid w:val="0014760B"/>
    <w:rsid w:val="00150782"/>
    <w:rsid w:val="00152955"/>
    <w:rsid w:val="00153933"/>
    <w:rsid w:val="00153D86"/>
    <w:rsid w:val="0015627A"/>
    <w:rsid w:val="00156281"/>
    <w:rsid w:val="00156B67"/>
    <w:rsid w:val="00156B7C"/>
    <w:rsid w:val="00156D37"/>
    <w:rsid w:val="00156F1D"/>
    <w:rsid w:val="0015710B"/>
    <w:rsid w:val="001617BD"/>
    <w:rsid w:val="0016463C"/>
    <w:rsid w:val="00164CC6"/>
    <w:rsid w:val="001660CB"/>
    <w:rsid w:val="001662B8"/>
    <w:rsid w:val="00170682"/>
    <w:rsid w:val="0017148A"/>
    <w:rsid w:val="001729E4"/>
    <w:rsid w:val="001737AD"/>
    <w:rsid w:val="00173DA5"/>
    <w:rsid w:val="001757AA"/>
    <w:rsid w:val="00175B00"/>
    <w:rsid w:val="00175BF2"/>
    <w:rsid w:val="00177F95"/>
    <w:rsid w:val="00181E66"/>
    <w:rsid w:val="00182B0C"/>
    <w:rsid w:val="00182E76"/>
    <w:rsid w:val="00182EFE"/>
    <w:rsid w:val="00182F02"/>
    <w:rsid w:val="00183402"/>
    <w:rsid w:val="00183D33"/>
    <w:rsid w:val="001840D2"/>
    <w:rsid w:val="00184871"/>
    <w:rsid w:val="00184D1F"/>
    <w:rsid w:val="001854AD"/>
    <w:rsid w:val="0018560B"/>
    <w:rsid w:val="001902EE"/>
    <w:rsid w:val="0019085B"/>
    <w:rsid w:val="001912B3"/>
    <w:rsid w:val="00191541"/>
    <w:rsid w:val="00191901"/>
    <w:rsid w:val="00191C4D"/>
    <w:rsid w:val="001926C5"/>
    <w:rsid w:val="00193934"/>
    <w:rsid w:val="00195BF8"/>
    <w:rsid w:val="001966D7"/>
    <w:rsid w:val="00197B66"/>
    <w:rsid w:val="001A2C9A"/>
    <w:rsid w:val="001A2F69"/>
    <w:rsid w:val="001A637F"/>
    <w:rsid w:val="001A7BE1"/>
    <w:rsid w:val="001A7F3D"/>
    <w:rsid w:val="001B10B1"/>
    <w:rsid w:val="001B18EA"/>
    <w:rsid w:val="001B2510"/>
    <w:rsid w:val="001B316C"/>
    <w:rsid w:val="001B35A1"/>
    <w:rsid w:val="001B5724"/>
    <w:rsid w:val="001B7156"/>
    <w:rsid w:val="001C1074"/>
    <w:rsid w:val="001C12CD"/>
    <w:rsid w:val="001C2322"/>
    <w:rsid w:val="001C327B"/>
    <w:rsid w:val="001C41F0"/>
    <w:rsid w:val="001C46E8"/>
    <w:rsid w:val="001C4D2E"/>
    <w:rsid w:val="001C6088"/>
    <w:rsid w:val="001C64C0"/>
    <w:rsid w:val="001C704C"/>
    <w:rsid w:val="001C7E35"/>
    <w:rsid w:val="001D3FF3"/>
    <w:rsid w:val="001D4F7A"/>
    <w:rsid w:val="001D63F7"/>
    <w:rsid w:val="001E03A9"/>
    <w:rsid w:val="001E106A"/>
    <w:rsid w:val="001E2C27"/>
    <w:rsid w:val="001E2D71"/>
    <w:rsid w:val="001E32A4"/>
    <w:rsid w:val="001E3C06"/>
    <w:rsid w:val="001E3FB6"/>
    <w:rsid w:val="001E4B42"/>
    <w:rsid w:val="001E726C"/>
    <w:rsid w:val="001E7B76"/>
    <w:rsid w:val="001F0054"/>
    <w:rsid w:val="001F0BE9"/>
    <w:rsid w:val="001F1E67"/>
    <w:rsid w:val="001F3203"/>
    <w:rsid w:val="001F5154"/>
    <w:rsid w:val="001F6159"/>
    <w:rsid w:val="001F66A0"/>
    <w:rsid w:val="001F6A05"/>
    <w:rsid w:val="001F7C04"/>
    <w:rsid w:val="00200F38"/>
    <w:rsid w:val="00202B1C"/>
    <w:rsid w:val="00202D79"/>
    <w:rsid w:val="00204E5F"/>
    <w:rsid w:val="00205D2F"/>
    <w:rsid w:val="00206183"/>
    <w:rsid w:val="002066FD"/>
    <w:rsid w:val="0020754A"/>
    <w:rsid w:val="00207F48"/>
    <w:rsid w:val="002102D9"/>
    <w:rsid w:val="0021139A"/>
    <w:rsid w:val="0021334B"/>
    <w:rsid w:val="00214C87"/>
    <w:rsid w:val="00214F3F"/>
    <w:rsid w:val="00215E8F"/>
    <w:rsid w:val="00215FF0"/>
    <w:rsid w:val="0021608E"/>
    <w:rsid w:val="0021777C"/>
    <w:rsid w:val="00220F2C"/>
    <w:rsid w:val="00221287"/>
    <w:rsid w:val="00221EBE"/>
    <w:rsid w:val="00222566"/>
    <w:rsid w:val="00222641"/>
    <w:rsid w:val="00223526"/>
    <w:rsid w:val="002247FA"/>
    <w:rsid w:val="00226873"/>
    <w:rsid w:val="0022766E"/>
    <w:rsid w:val="0023037D"/>
    <w:rsid w:val="002310F3"/>
    <w:rsid w:val="002311FF"/>
    <w:rsid w:val="00232636"/>
    <w:rsid w:val="00234FB6"/>
    <w:rsid w:val="00235588"/>
    <w:rsid w:val="00235888"/>
    <w:rsid w:val="002410B2"/>
    <w:rsid w:val="00245948"/>
    <w:rsid w:val="002460D0"/>
    <w:rsid w:val="00247CA6"/>
    <w:rsid w:val="00250C20"/>
    <w:rsid w:val="00252876"/>
    <w:rsid w:val="00252E7B"/>
    <w:rsid w:val="00253201"/>
    <w:rsid w:val="002541E5"/>
    <w:rsid w:val="002548D1"/>
    <w:rsid w:val="00257308"/>
    <w:rsid w:val="002600E9"/>
    <w:rsid w:val="0026172D"/>
    <w:rsid w:val="00261BEE"/>
    <w:rsid w:val="00262389"/>
    <w:rsid w:val="0026276E"/>
    <w:rsid w:val="0026300A"/>
    <w:rsid w:val="0026369E"/>
    <w:rsid w:val="0026742C"/>
    <w:rsid w:val="00267878"/>
    <w:rsid w:val="002700B2"/>
    <w:rsid w:val="00270959"/>
    <w:rsid w:val="002723EE"/>
    <w:rsid w:val="00272BA1"/>
    <w:rsid w:val="002738A7"/>
    <w:rsid w:val="00273E4F"/>
    <w:rsid w:val="00274195"/>
    <w:rsid w:val="00274560"/>
    <w:rsid w:val="00275339"/>
    <w:rsid w:val="00277490"/>
    <w:rsid w:val="002774F4"/>
    <w:rsid w:val="00277F3C"/>
    <w:rsid w:val="0028019B"/>
    <w:rsid w:val="002801FA"/>
    <w:rsid w:val="002807EE"/>
    <w:rsid w:val="00282502"/>
    <w:rsid w:val="0028316A"/>
    <w:rsid w:val="0028318D"/>
    <w:rsid w:val="002849EC"/>
    <w:rsid w:val="00287B24"/>
    <w:rsid w:val="0029065A"/>
    <w:rsid w:val="00290F93"/>
    <w:rsid w:val="0029131B"/>
    <w:rsid w:val="00292687"/>
    <w:rsid w:val="00292A6D"/>
    <w:rsid w:val="0029474D"/>
    <w:rsid w:val="002962D7"/>
    <w:rsid w:val="002A03E0"/>
    <w:rsid w:val="002A05F4"/>
    <w:rsid w:val="002A07BC"/>
    <w:rsid w:val="002A18D7"/>
    <w:rsid w:val="002A2594"/>
    <w:rsid w:val="002A27C0"/>
    <w:rsid w:val="002A2E47"/>
    <w:rsid w:val="002A3389"/>
    <w:rsid w:val="002A6274"/>
    <w:rsid w:val="002B11DD"/>
    <w:rsid w:val="002B29B6"/>
    <w:rsid w:val="002B2CBE"/>
    <w:rsid w:val="002B2F92"/>
    <w:rsid w:val="002B3BD9"/>
    <w:rsid w:val="002B53D9"/>
    <w:rsid w:val="002B54A6"/>
    <w:rsid w:val="002B55CB"/>
    <w:rsid w:val="002B6ADB"/>
    <w:rsid w:val="002B767B"/>
    <w:rsid w:val="002B7B42"/>
    <w:rsid w:val="002C05D1"/>
    <w:rsid w:val="002C1AC5"/>
    <w:rsid w:val="002C2BF0"/>
    <w:rsid w:val="002C35FE"/>
    <w:rsid w:val="002C36A3"/>
    <w:rsid w:val="002C3ACF"/>
    <w:rsid w:val="002C3AEC"/>
    <w:rsid w:val="002C4256"/>
    <w:rsid w:val="002C463F"/>
    <w:rsid w:val="002C50A2"/>
    <w:rsid w:val="002C5A31"/>
    <w:rsid w:val="002C5DCD"/>
    <w:rsid w:val="002C66C9"/>
    <w:rsid w:val="002C672F"/>
    <w:rsid w:val="002C67F2"/>
    <w:rsid w:val="002D1517"/>
    <w:rsid w:val="002D26F8"/>
    <w:rsid w:val="002D3C77"/>
    <w:rsid w:val="002D407C"/>
    <w:rsid w:val="002D6CE2"/>
    <w:rsid w:val="002D7C60"/>
    <w:rsid w:val="002E02D3"/>
    <w:rsid w:val="002E14DC"/>
    <w:rsid w:val="002E2CEA"/>
    <w:rsid w:val="002E3CCA"/>
    <w:rsid w:val="002E4BE3"/>
    <w:rsid w:val="002E5AF5"/>
    <w:rsid w:val="002E678B"/>
    <w:rsid w:val="002E6D40"/>
    <w:rsid w:val="002E7F35"/>
    <w:rsid w:val="002F019A"/>
    <w:rsid w:val="002F1970"/>
    <w:rsid w:val="002F300F"/>
    <w:rsid w:val="002F3BA1"/>
    <w:rsid w:val="002F3EE9"/>
    <w:rsid w:val="002F46B7"/>
    <w:rsid w:val="002F6A03"/>
    <w:rsid w:val="002F7896"/>
    <w:rsid w:val="002F7D59"/>
    <w:rsid w:val="0030045F"/>
    <w:rsid w:val="00300486"/>
    <w:rsid w:val="0030198F"/>
    <w:rsid w:val="00302CD3"/>
    <w:rsid w:val="00307D3F"/>
    <w:rsid w:val="0031019C"/>
    <w:rsid w:val="00310519"/>
    <w:rsid w:val="0031185B"/>
    <w:rsid w:val="003158E5"/>
    <w:rsid w:val="0031658B"/>
    <w:rsid w:val="00316858"/>
    <w:rsid w:val="00317119"/>
    <w:rsid w:val="003171B9"/>
    <w:rsid w:val="00317314"/>
    <w:rsid w:val="0031781A"/>
    <w:rsid w:val="00321915"/>
    <w:rsid w:val="0032259C"/>
    <w:rsid w:val="00322879"/>
    <w:rsid w:val="00323377"/>
    <w:rsid w:val="0032360F"/>
    <w:rsid w:val="0032395C"/>
    <w:rsid w:val="00324913"/>
    <w:rsid w:val="0032550B"/>
    <w:rsid w:val="00325F0E"/>
    <w:rsid w:val="00326163"/>
    <w:rsid w:val="00326721"/>
    <w:rsid w:val="00326907"/>
    <w:rsid w:val="003311B8"/>
    <w:rsid w:val="0033220C"/>
    <w:rsid w:val="0033256D"/>
    <w:rsid w:val="003338E7"/>
    <w:rsid w:val="00333BD7"/>
    <w:rsid w:val="00333FAA"/>
    <w:rsid w:val="003355D7"/>
    <w:rsid w:val="00337B3A"/>
    <w:rsid w:val="003410B7"/>
    <w:rsid w:val="003418AB"/>
    <w:rsid w:val="0034597F"/>
    <w:rsid w:val="00347593"/>
    <w:rsid w:val="00347AD5"/>
    <w:rsid w:val="00350F07"/>
    <w:rsid w:val="00351735"/>
    <w:rsid w:val="00352721"/>
    <w:rsid w:val="0035272C"/>
    <w:rsid w:val="003532CD"/>
    <w:rsid w:val="0035406A"/>
    <w:rsid w:val="00354BAA"/>
    <w:rsid w:val="0036036E"/>
    <w:rsid w:val="003612D5"/>
    <w:rsid w:val="00361B43"/>
    <w:rsid w:val="0036201C"/>
    <w:rsid w:val="0036285A"/>
    <w:rsid w:val="00363AAE"/>
    <w:rsid w:val="00364570"/>
    <w:rsid w:val="00366BBD"/>
    <w:rsid w:val="003701B9"/>
    <w:rsid w:val="003728EE"/>
    <w:rsid w:val="003732F4"/>
    <w:rsid w:val="00373FD7"/>
    <w:rsid w:val="00374868"/>
    <w:rsid w:val="00374CD5"/>
    <w:rsid w:val="00374CD9"/>
    <w:rsid w:val="00375004"/>
    <w:rsid w:val="003767A0"/>
    <w:rsid w:val="003773AF"/>
    <w:rsid w:val="003800E7"/>
    <w:rsid w:val="00381232"/>
    <w:rsid w:val="00381603"/>
    <w:rsid w:val="00383BC8"/>
    <w:rsid w:val="00385924"/>
    <w:rsid w:val="00385FB2"/>
    <w:rsid w:val="00386BD8"/>
    <w:rsid w:val="00386BF3"/>
    <w:rsid w:val="00386D8F"/>
    <w:rsid w:val="00387615"/>
    <w:rsid w:val="00390A1D"/>
    <w:rsid w:val="00391450"/>
    <w:rsid w:val="00391685"/>
    <w:rsid w:val="0039230A"/>
    <w:rsid w:val="0039329E"/>
    <w:rsid w:val="0039347D"/>
    <w:rsid w:val="00395F18"/>
    <w:rsid w:val="00396067"/>
    <w:rsid w:val="0039654F"/>
    <w:rsid w:val="003A0440"/>
    <w:rsid w:val="003A1CD0"/>
    <w:rsid w:val="003A268B"/>
    <w:rsid w:val="003A32C2"/>
    <w:rsid w:val="003A3B33"/>
    <w:rsid w:val="003A42A0"/>
    <w:rsid w:val="003A4F2F"/>
    <w:rsid w:val="003A52A2"/>
    <w:rsid w:val="003A7C33"/>
    <w:rsid w:val="003B0715"/>
    <w:rsid w:val="003B0945"/>
    <w:rsid w:val="003B20DC"/>
    <w:rsid w:val="003B39DA"/>
    <w:rsid w:val="003B4D84"/>
    <w:rsid w:val="003B748B"/>
    <w:rsid w:val="003B7564"/>
    <w:rsid w:val="003B7581"/>
    <w:rsid w:val="003B7934"/>
    <w:rsid w:val="003B7AF8"/>
    <w:rsid w:val="003C0274"/>
    <w:rsid w:val="003C0668"/>
    <w:rsid w:val="003C0934"/>
    <w:rsid w:val="003C0F6E"/>
    <w:rsid w:val="003C2B48"/>
    <w:rsid w:val="003C2EB7"/>
    <w:rsid w:val="003C379B"/>
    <w:rsid w:val="003C565A"/>
    <w:rsid w:val="003C6803"/>
    <w:rsid w:val="003D0738"/>
    <w:rsid w:val="003D2CC8"/>
    <w:rsid w:val="003D3BE2"/>
    <w:rsid w:val="003D460D"/>
    <w:rsid w:val="003D482A"/>
    <w:rsid w:val="003D4E32"/>
    <w:rsid w:val="003D61E1"/>
    <w:rsid w:val="003D6C5E"/>
    <w:rsid w:val="003D73B6"/>
    <w:rsid w:val="003E0B7C"/>
    <w:rsid w:val="003E0DBB"/>
    <w:rsid w:val="003E3991"/>
    <w:rsid w:val="003E3DD7"/>
    <w:rsid w:val="003E3E84"/>
    <w:rsid w:val="003E4312"/>
    <w:rsid w:val="003E4584"/>
    <w:rsid w:val="003E5B92"/>
    <w:rsid w:val="003E5D77"/>
    <w:rsid w:val="003E679C"/>
    <w:rsid w:val="003E6EAA"/>
    <w:rsid w:val="003F0DB6"/>
    <w:rsid w:val="003F279E"/>
    <w:rsid w:val="003F2D68"/>
    <w:rsid w:val="003F47B4"/>
    <w:rsid w:val="003F5751"/>
    <w:rsid w:val="003F58EF"/>
    <w:rsid w:val="003F5E2F"/>
    <w:rsid w:val="003F63C5"/>
    <w:rsid w:val="003F67EC"/>
    <w:rsid w:val="003F6C22"/>
    <w:rsid w:val="00401444"/>
    <w:rsid w:val="004032B3"/>
    <w:rsid w:val="004034F2"/>
    <w:rsid w:val="00403666"/>
    <w:rsid w:val="004039DE"/>
    <w:rsid w:val="0040415A"/>
    <w:rsid w:val="004049E4"/>
    <w:rsid w:val="00404B4F"/>
    <w:rsid w:val="00404FAB"/>
    <w:rsid w:val="004076C8"/>
    <w:rsid w:val="0041077E"/>
    <w:rsid w:val="00410C9C"/>
    <w:rsid w:val="00410E11"/>
    <w:rsid w:val="00410EE1"/>
    <w:rsid w:val="004113D1"/>
    <w:rsid w:val="00411A8D"/>
    <w:rsid w:val="00411ADC"/>
    <w:rsid w:val="004122E8"/>
    <w:rsid w:val="0041380A"/>
    <w:rsid w:val="004162A2"/>
    <w:rsid w:val="00416FB3"/>
    <w:rsid w:val="00417C41"/>
    <w:rsid w:val="00420DE1"/>
    <w:rsid w:val="00421A4C"/>
    <w:rsid w:val="00422246"/>
    <w:rsid w:val="004236D7"/>
    <w:rsid w:val="0042378A"/>
    <w:rsid w:val="00423E1E"/>
    <w:rsid w:val="0042411C"/>
    <w:rsid w:val="00424E6A"/>
    <w:rsid w:val="00431404"/>
    <w:rsid w:val="004333E4"/>
    <w:rsid w:val="004363F7"/>
    <w:rsid w:val="00440125"/>
    <w:rsid w:val="00440EBF"/>
    <w:rsid w:val="00442041"/>
    <w:rsid w:val="00442337"/>
    <w:rsid w:val="00442F82"/>
    <w:rsid w:val="0044386A"/>
    <w:rsid w:val="00444185"/>
    <w:rsid w:val="00445321"/>
    <w:rsid w:val="004507BE"/>
    <w:rsid w:val="00450B60"/>
    <w:rsid w:val="004528FB"/>
    <w:rsid w:val="00453541"/>
    <w:rsid w:val="00453988"/>
    <w:rsid w:val="00455115"/>
    <w:rsid w:val="00455B88"/>
    <w:rsid w:val="004566B3"/>
    <w:rsid w:val="004577FE"/>
    <w:rsid w:val="00460742"/>
    <w:rsid w:val="0046177B"/>
    <w:rsid w:val="00462020"/>
    <w:rsid w:val="0046460C"/>
    <w:rsid w:val="00464753"/>
    <w:rsid w:val="00470D2D"/>
    <w:rsid w:val="00471C1F"/>
    <w:rsid w:val="00474414"/>
    <w:rsid w:val="004751D8"/>
    <w:rsid w:val="004821B5"/>
    <w:rsid w:val="00482D50"/>
    <w:rsid w:val="004848F3"/>
    <w:rsid w:val="00484944"/>
    <w:rsid w:val="00485B91"/>
    <w:rsid w:val="0048704A"/>
    <w:rsid w:val="00487842"/>
    <w:rsid w:val="004902A6"/>
    <w:rsid w:val="0049066C"/>
    <w:rsid w:val="004922C6"/>
    <w:rsid w:val="004926C1"/>
    <w:rsid w:val="00493E11"/>
    <w:rsid w:val="00494AF7"/>
    <w:rsid w:val="00495F2D"/>
    <w:rsid w:val="004A24EE"/>
    <w:rsid w:val="004A2B66"/>
    <w:rsid w:val="004A3953"/>
    <w:rsid w:val="004A3AE4"/>
    <w:rsid w:val="004A3D95"/>
    <w:rsid w:val="004A47D9"/>
    <w:rsid w:val="004A52E8"/>
    <w:rsid w:val="004A637C"/>
    <w:rsid w:val="004A6EDB"/>
    <w:rsid w:val="004B0A7B"/>
    <w:rsid w:val="004B1F90"/>
    <w:rsid w:val="004B3306"/>
    <w:rsid w:val="004B336F"/>
    <w:rsid w:val="004B4EB4"/>
    <w:rsid w:val="004B6426"/>
    <w:rsid w:val="004C134F"/>
    <w:rsid w:val="004C3758"/>
    <w:rsid w:val="004C448D"/>
    <w:rsid w:val="004C4B5E"/>
    <w:rsid w:val="004C5118"/>
    <w:rsid w:val="004C54F6"/>
    <w:rsid w:val="004C6220"/>
    <w:rsid w:val="004C6495"/>
    <w:rsid w:val="004C6B6C"/>
    <w:rsid w:val="004D2DA0"/>
    <w:rsid w:val="004D382E"/>
    <w:rsid w:val="004D4468"/>
    <w:rsid w:val="004D572C"/>
    <w:rsid w:val="004D6EBB"/>
    <w:rsid w:val="004E14A4"/>
    <w:rsid w:val="004E52B3"/>
    <w:rsid w:val="004E65F1"/>
    <w:rsid w:val="004E66A5"/>
    <w:rsid w:val="004E7206"/>
    <w:rsid w:val="004E7C68"/>
    <w:rsid w:val="004F00BD"/>
    <w:rsid w:val="004F1DED"/>
    <w:rsid w:val="004F46E4"/>
    <w:rsid w:val="004F496B"/>
    <w:rsid w:val="004F4E88"/>
    <w:rsid w:val="004F7602"/>
    <w:rsid w:val="00500764"/>
    <w:rsid w:val="00502B69"/>
    <w:rsid w:val="005031DE"/>
    <w:rsid w:val="00503705"/>
    <w:rsid w:val="00503DD6"/>
    <w:rsid w:val="005063FB"/>
    <w:rsid w:val="005105B4"/>
    <w:rsid w:val="005108A7"/>
    <w:rsid w:val="005109E0"/>
    <w:rsid w:val="00513881"/>
    <w:rsid w:val="00515238"/>
    <w:rsid w:val="005155C8"/>
    <w:rsid w:val="00515A03"/>
    <w:rsid w:val="00515CBD"/>
    <w:rsid w:val="005163C5"/>
    <w:rsid w:val="00516F96"/>
    <w:rsid w:val="0052025C"/>
    <w:rsid w:val="0052035E"/>
    <w:rsid w:val="00520D2A"/>
    <w:rsid w:val="00521915"/>
    <w:rsid w:val="005248B1"/>
    <w:rsid w:val="00525353"/>
    <w:rsid w:val="005255D6"/>
    <w:rsid w:val="00525D83"/>
    <w:rsid w:val="00525E8F"/>
    <w:rsid w:val="005300D0"/>
    <w:rsid w:val="00530439"/>
    <w:rsid w:val="005308D0"/>
    <w:rsid w:val="00530E7B"/>
    <w:rsid w:val="00530EFA"/>
    <w:rsid w:val="00530FB2"/>
    <w:rsid w:val="00531BC8"/>
    <w:rsid w:val="005330B4"/>
    <w:rsid w:val="00533D2F"/>
    <w:rsid w:val="00533EC2"/>
    <w:rsid w:val="00534686"/>
    <w:rsid w:val="00534ED3"/>
    <w:rsid w:val="005350A2"/>
    <w:rsid w:val="005354D0"/>
    <w:rsid w:val="005359A0"/>
    <w:rsid w:val="0053638B"/>
    <w:rsid w:val="005363E4"/>
    <w:rsid w:val="0053716D"/>
    <w:rsid w:val="0053726E"/>
    <w:rsid w:val="0053760A"/>
    <w:rsid w:val="005378F7"/>
    <w:rsid w:val="00537F3C"/>
    <w:rsid w:val="00543AB2"/>
    <w:rsid w:val="00544298"/>
    <w:rsid w:val="00544B40"/>
    <w:rsid w:val="00544CAD"/>
    <w:rsid w:val="0054527B"/>
    <w:rsid w:val="0054590F"/>
    <w:rsid w:val="005466CB"/>
    <w:rsid w:val="00546FB8"/>
    <w:rsid w:val="00547BB2"/>
    <w:rsid w:val="00550458"/>
    <w:rsid w:val="005520B7"/>
    <w:rsid w:val="005534E4"/>
    <w:rsid w:val="00553BE5"/>
    <w:rsid w:val="00556480"/>
    <w:rsid w:val="00556CC9"/>
    <w:rsid w:val="00560CCD"/>
    <w:rsid w:val="00561EE2"/>
    <w:rsid w:val="00562CC6"/>
    <w:rsid w:val="0056353C"/>
    <w:rsid w:val="00563CDA"/>
    <w:rsid w:val="00564B16"/>
    <w:rsid w:val="00564FB0"/>
    <w:rsid w:val="00565B27"/>
    <w:rsid w:val="00565E95"/>
    <w:rsid w:val="00565FBC"/>
    <w:rsid w:val="005661F5"/>
    <w:rsid w:val="005663CF"/>
    <w:rsid w:val="0056672E"/>
    <w:rsid w:val="00570826"/>
    <w:rsid w:val="005718B5"/>
    <w:rsid w:val="00571B53"/>
    <w:rsid w:val="00575DA1"/>
    <w:rsid w:val="00576746"/>
    <w:rsid w:val="00577A02"/>
    <w:rsid w:val="0058051B"/>
    <w:rsid w:val="005808FB"/>
    <w:rsid w:val="005813FE"/>
    <w:rsid w:val="00583205"/>
    <w:rsid w:val="005843A5"/>
    <w:rsid w:val="00585C17"/>
    <w:rsid w:val="00586F20"/>
    <w:rsid w:val="00587B0D"/>
    <w:rsid w:val="0059016D"/>
    <w:rsid w:val="005918B7"/>
    <w:rsid w:val="005922D5"/>
    <w:rsid w:val="0059320F"/>
    <w:rsid w:val="00594B84"/>
    <w:rsid w:val="00594CCD"/>
    <w:rsid w:val="00595104"/>
    <w:rsid w:val="00596736"/>
    <w:rsid w:val="005A0162"/>
    <w:rsid w:val="005A04AE"/>
    <w:rsid w:val="005A34DF"/>
    <w:rsid w:val="005A522D"/>
    <w:rsid w:val="005A6DF0"/>
    <w:rsid w:val="005B13A9"/>
    <w:rsid w:val="005B1AE1"/>
    <w:rsid w:val="005B2EE6"/>
    <w:rsid w:val="005B3F67"/>
    <w:rsid w:val="005B4870"/>
    <w:rsid w:val="005B565C"/>
    <w:rsid w:val="005B60FD"/>
    <w:rsid w:val="005B66B6"/>
    <w:rsid w:val="005B671D"/>
    <w:rsid w:val="005B78F9"/>
    <w:rsid w:val="005C03A0"/>
    <w:rsid w:val="005C1136"/>
    <w:rsid w:val="005C1DC0"/>
    <w:rsid w:val="005C30AC"/>
    <w:rsid w:val="005C3964"/>
    <w:rsid w:val="005C4733"/>
    <w:rsid w:val="005C4CB8"/>
    <w:rsid w:val="005C4DBD"/>
    <w:rsid w:val="005C52F5"/>
    <w:rsid w:val="005D0C5B"/>
    <w:rsid w:val="005D1119"/>
    <w:rsid w:val="005D14A7"/>
    <w:rsid w:val="005D31BF"/>
    <w:rsid w:val="005D3F8B"/>
    <w:rsid w:val="005D5AF0"/>
    <w:rsid w:val="005D6157"/>
    <w:rsid w:val="005D6791"/>
    <w:rsid w:val="005D6A26"/>
    <w:rsid w:val="005D6E31"/>
    <w:rsid w:val="005D6EF5"/>
    <w:rsid w:val="005D7C56"/>
    <w:rsid w:val="005E0018"/>
    <w:rsid w:val="005E002A"/>
    <w:rsid w:val="005E0AD9"/>
    <w:rsid w:val="005E0EC3"/>
    <w:rsid w:val="005E3A10"/>
    <w:rsid w:val="005E40A0"/>
    <w:rsid w:val="005E426A"/>
    <w:rsid w:val="005E44E4"/>
    <w:rsid w:val="005E4674"/>
    <w:rsid w:val="005E4706"/>
    <w:rsid w:val="005E5177"/>
    <w:rsid w:val="005E5522"/>
    <w:rsid w:val="005E553E"/>
    <w:rsid w:val="005E6295"/>
    <w:rsid w:val="005E7509"/>
    <w:rsid w:val="005E76F9"/>
    <w:rsid w:val="005F3067"/>
    <w:rsid w:val="005F30E5"/>
    <w:rsid w:val="005F3293"/>
    <w:rsid w:val="005F3757"/>
    <w:rsid w:val="005F5F06"/>
    <w:rsid w:val="005F6817"/>
    <w:rsid w:val="00600637"/>
    <w:rsid w:val="0060097C"/>
    <w:rsid w:val="00603642"/>
    <w:rsid w:val="00603DCC"/>
    <w:rsid w:val="00605943"/>
    <w:rsid w:val="006069BA"/>
    <w:rsid w:val="0061014B"/>
    <w:rsid w:val="006107B2"/>
    <w:rsid w:val="00610DAE"/>
    <w:rsid w:val="00611E90"/>
    <w:rsid w:val="00612BC3"/>
    <w:rsid w:val="00613368"/>
    <w:rsid w:val="00615AE4"/>
    <w:rsid w:val="006166FD"/>
    <w:rsid w:val="00617488"/>
    <w:rsid w:val="0062007D"/>
    <w:rsid w:val="006222A2"/>
    <w:rsid w:val="00623A99"/>
    <w:rsid w:val="00623CF8"/>
    <w:rsid w:val="006240E1"/>
    <w:rsid w:val="006242AB"/>
    <w:rsid w:val="0062479E"/>
    <w:rsid w:val="00625425"/>
    <w:rsid w:val="00625D1B"/>
    <w:rsid w:val="00627173"/>
    <w:rsid w:val="00630A2C"/>
    <w:rsid w:val="00633D01"/>
    <w:rsid w:val="00633E7A"/>
    <w:rsid w:val="006340F5"/>
    <w:rsid w:val="006344AC"/>
    <w:rsid w:val="0063497E"/>
    <w:rsid w:val="00634C95"/>
    <w:rsid w:val="00635360"/>
    <w:rsid w:val="00635E37"/>
    <w:rsid w:val="00635E84"/>
    <w:rsid w:val="00636014"/>
    <w:rsid w:val="0063706E"/>
    <w:rsid w:val="006379E1"/>
    <w:rsid w:val="00637B72"/>
    <w:rsid w:val="00637C72"/>
    <w:rsid w:val="0064222B"/>
    <w:rsid w:val="00642A4B"/>
    <w:rsid w:val="00642FE5"/>
    <w:rsid w:val="006433BA"/>
    <w:rsid w:val="006525B9"/>
    <w:rsid w:val="00652F66"/>
    <w:rsid w:val="0065358C"/>
    <w:rsid w:val="0065397E"/>
    <w:rsid w:val="006545DF"/>
    <w:rsid w:val="00654FA2"/>
    <w:rsid w:val="00655044"/>
    <w:rsid w:val="006550F5"/>
    <w:rsid w:val="006551C3"/>
    <w:rsid w:val="00655C29"/>
    <w:rsid w:val="00660E65"/>
    <w:rsid w:val="00661E25"/>
    <w:rsid w:val="0066304B"/>
    <w:rsid w:val="006633C7"/>
    <w:rsid w:val="006633CE"/>
    <w:rsid w:val="0066422F"/>
    <w:rsid w:val="00664E4E"/>
    <w:rsid w:val="00666AFB"/>
    <w:rsid w:val="0067045D"/>
    <w:rsid w:val="00670F17"/>
    <w:rsid w:val="00673E50"/>
    <w:rsid w:val="0067437D"/>
    <w:rsid w:val="006764A6"/>
    <w:rsid w:val="00677491"/>
    <w:rsid w:val="00677C22"/>
    <w:rsid w:val="00681DD0"/>
    <w:rsid w:val="00685647"/>
    <w:rsid w:val="0068735C"/>
    <w:rsid w:val="00687923"/>
    <w:rsid w:val="00690541"/>
    <w:rsid w:val="006909EA"/>
    <w:rsid w:val="00690DE0"/>
    <w:rsid w:val="00691923"/>
    <w:rsid w:val="00691A04"/>
    <w:rsid w:val="0069382C"/>
    <w:rsid w:val="00694504"/>
    <w:rsid w:val="00694D65"/>
    <w:rsid w:val="006963B9"/>
    <w:rsid w:val="00696A83"/>
    <w:rsid w:val="00696FE7"/>
    <w:rsid w:val="00697361"/>
    <w:rsid w:val="006A03BE"/>
    <w:rsid w:val="006A0DA8"/>
    <w:rsid w:val="006A0E09"/>
    <w:rsid w:val="006A19EC"/>
    <w:rsid w:val="006A237F"/>
    <w:rsid w:val="006A2A11"/>
    <w:rsid w:val="006A317B"/>
    <w:rsid w:val="006A3A7A"/>
    <w:rsid w:val="006A3AF7"/>
    <w:rsid w:val="006A4526"/>
    <w:rsid w:val="006A4ADD"/>
    <w:rsid w:val="006A5A1F"/>
    <w:rsid w:val="006A633C"/>
    <w:rsid w:val="006A6B70"/>
    <w:rsid w:val="006A6FB1"/>
    <w:rsid w:val="006A74EC"/>
    <w:rsid w:val="006A77FE"/>
    <w:rsid w:val="006A7A4B"/>
    <w:rsid w:val="006B0E8F"/>
    <w:rsid w:val="006B1A1C"/>
    <w:rsid w:val="006B58A7"/>
    <w:rsid w:val="006B70AF"/>
    <w:rsid w:val="006B7DA6"/>
    <w:rsid w:val="006C0C64"/>
    <w:rsid w:val="006C1726"/>
    <w:rsid w:val="006C1998"/>
    <w:rsid w:val="006C2029"/>
    <w:rsid w:val="006C2CBB"/>
    <w:rsid w:val="006C3281"/>
    <w:rsid w:val="006C5084"/>
    <w:rsid w:val="006C5594"/>
    <w:rsid w:val="006C5EFC"/>
    <w:rsid w:val="006D09BE"/>
    <w:rsid w:val="006D10D2"/>
    <w:rsid w:val="006D2493"/>
    <w:rsid w:val="006D2CA4"/>
    <w:rsid w:val="006D3696"/>
    <w:rsid w:val="006D48DB"/>
    <w:rsid w:val="006D5C47"/>
    <w:rsid w:val="006D7595"/>
    <w:rsid w:val="006E0E20"/>
    <w:rsid w:val="006E19E9"/>
    <w:rsid w:val="006E1CAF"/>
    <w:rsid w:val="006E46D0"/>
    <w:rsid w:val="006E4F1F"/>
    <w:rsid w:val="006E558F"/>
    <w:rsid w:val="006E63A7"/>
    <w:rsid w:val="006E6FA2"/>
    <w:rsid w:val="006F057C"/>
    <w:rsid w:val="006F22DA"/>
    <w:rsid w:val="006F278D"/>
    <w:rsid w:val="006F2EB3"/>
    <w:rsid w:val="006F382F"/>
    <w:rsid w:val="006F3C68"/>
    <w:rsid w:val="006F4358"/>
    <w:rsid w:val="006F5766"/>
    <w:rsid w:val="006F6B77"/>
    <w:rsid w:val="006F72C6"/>
    <w:rsid w:val="00700016"/>
    <w:rsid w:val="00700A45"/>
    <w:rsid w:val="00700EC3"/>
    <w:rsid w:val="007018B5"/>
    <w:rsid w:val="0070209A"/>
    <w:rsid w:val="00702C8A"/>
    <w:rsid w:val="007031A1"/>
    <w:rsid w:val="00703881"/>
    <w:rsid w:val="00704090"/>
    <w:rsid w:val="00707DC4"/>
    <w:rsid w:val="007126FD"/>
    <w:rsid w:val="007138C6"/>
    <w:rsid w:val="00714BEE"/>
    <w:rsid w:val="00715E68"/>
    <w:rsid w:val="00716449"/>
    <w:rsid w:val="00717FA9"/>
    <w:rsid w:val="00720057"/>
    <w:rsid w:val="00721215"/>
    <w:rsid w:val="00721524"/>
    <w:rsid w:val="0072161F"/>
    <w:rsid w:val="00723439"/>
    <w:rsid w:val="00723B7F"/>
    <w:rsid w:val="00726707"/>
    <w:rsid w:val="007267D1"/>
    <w:rsid w:val="007272A3"/>
    <w:rsid w:val="00727664"/>
    <w:rsid w:val="007301C1"/>
    <w:rsid w:val="0073094C"/>
    <w:rsid w:val="00731543"/>
    <w:rsid w:val="00731BEE"/>
    <w:rsid w:val="00741AEB"/>
    <w:rsid w:val="00742521"/>
    <w:rsid w:val="00742D55"/>
    <w:rsid w:val="00743A86"/>
    <w:rsid w:val="00745CEB"/>
    <w:rsid w:val="00745F53"/>
    <w:rsid w:val="00746475"/>
    <w:rsid w:val="00746A92"/>
    <w:rsid w:val="007475D5"/>
    <w:rsid w:val="007502EB"/>
    <w:rsid w:val="007505D5"/>
    <w:rsid w:val="00751215"/>
    <w:rsid w:val="00752060"/>
    <w:rsid w:val="0075278D"/>
    <w:rsid w:val="00754A97"/>
    <w:rsid w:val="00754F76"/>
    <w:rsid w:val="00755442"/>
    <w:rsid w:val="0075587A"/>
    <w:rsid w:val="00756ECB"/>
    <w:rsid w:val="007573C2"/>
    <w:rsid w:val="007575DD"/>
    <w:rsid w:val="00757FEA"/>
    <w:rsid w:val="00760D1F"/>
    <w:rsid w:val="00761C02"/>
    <w:rsid w:val="007635E6"/>
    <w:rsid w:val="00765B9D"/>
    <w:rsid w:val="00765CF7"/>
    <w:rsid w:val="00770DDE"/>
    <w:rsid w:val="00771AC9"/>
    <w:rsid w:val="0077599C"/>
    <w:rsid w:val="00776561"/>
    <w:rsid w:val="00776803"/>
    <w:rsid w:val="0077788D"/>
    <w:rsid w:val="00777CCB"/>
    <w:rsid w:val="0078018A"/>
    <w:rsid w:val="00782A49"/>
    <w:rsid w:val="00784792"/>
    <w:rsid w:val="00784BC8"/>
    <w:rsid w:val="00785D40"/>
    <w:rsid w:val="007900C0"/>
    <w:rsid w:val="00790694"/>
    <w:rsid w:val="00791192"/>
    <w:rsid w:val="0079266E"/>
    <w:rsid w:val="00792B21"/>
    <w:rsid w:val="0079338C"/>
    <w:rsid w:val="00795422"/>
    <w:rsid w:val="0079572B"/>
    <w:rsid w:val="00797818"/>
    <w:rsid w:val="00797973"/>
    <w:rsid w:val="007A034A"/>
    <w:rsid w:val="007A1DD4"/>
    <w:rsid w:val="007A2234"/>
    <w:rsid w:val="007A30FA"/>
    <w:rsid w:val="007A39BA"/>
    <w:rsid w:val="007A5EAC"/>
    <w:rsid w:val="007A7003"/>
    <w:rsid w:val="007A771B"/>
    <w:rsid w:val="007B033B"/>
    <w:rsid w:val="007B174C"/>
    <w:rsid w:val="007B21A2"/>
    <w:rsid w:val="007B23FC"/>
    <w:rsid w:val="007B2CFE"/>
    <w:rsid w:val="007B64C2"/>
    <w:rsid w:val="007B7826"/>
    <w:rsid w:val="007C155F"/>
    <w:rsid w:val="007C3EAF"/>
    <w:rsid w:val="007C4B86"/>
    <w:rsid w:val="007C4E79"/>
    <w:rsid w:val="007D0C1D"/>
    <w:rsid w:val="007D1D99"/>
    <w:rsid w:val="007D20C7"/>
    <w:rsid w:val="007D27B7"/>
    <w:rsid w:val="007D291B"/>
    <w:rsid w:val="007D2A0C"/>
    <w:rsid w:val="007D338D"/>
    <w:rsid w:val="007D49A3"/>
    <w:rsid w:val="007D4DBF"/>
    <w:rsid w:val="007E02C9"/>
    <w:rsid w:val="007E2114"/>
    <w:rsid w:val="007E21E1"/>
    <w:rsid w:val="007E2BC4"/>
    <w:rsid w:val="007E2E17"/>
    <w:rsid w:val="007E4580"/>
    <w:rsid w:val="007E4732"/>
    <w:rsid w:val="007E4FBF"/>
    <w:rsid w:val="007E5AE7"/>
    <w:rsid w:val="007E71BD"/>
    <w:rsid w:val="007E751D"/>
    <w:rsid w:val="007F004E"/>
    <w:rsid w:val="007F166D"/>
    <w:rsid w:val="007F275B"/>
    <w:rsid w:val="007F3FCE"/>
    <w:rsid w:val="007F43DF"/>
    <w:rsid w:val="007F454B"/>
    <w:rsid w:val="007F4E61"/>
    <w:rsid w:val="007F760C"/>
    <w:rsid w:val="007F7B31"/>
    <w:rsid w:val="008009C5"/>
    <w:rsid w:val="00800BFF"/>
    <w:rsid w:val="00800D19"/>
    <w:rsid w:val="0080159D"/>
    <w:rsid w:val="00801910"/>
    <w:rsid w:val="00801D35"/>
    <w:rsid w:val="0080357A"/>
    <w:rsid w:val="00803730"/>
    <w:rsid w:val="008048E1"/>
    <w:rsid w:val="008076EC"/>
    <w:rsid w:val="0081219E"/>
    <w:rsid w:val="00812901"/>
    <w:rsid w:val="00813BB0"/>
    <w:rsid w:val="008156FA"/>
    <w:rsid w:val="008157BA"/>
    <w:rsid w:val="00815C26"/>
    <w:rsid w:val="00816135"/>
    <w:rsid w:val="0081697F"/>
    <w:rsid w:val="00816A7E"/>
    <w:rsid w:val="008203D5"/>
    <w:rsid w:val="00820F6B"/>
    <w:rsid w:val="0082124E"/>
    <w:rsid w:val="00821970"/>
    <w:rsid w:val="00822A41"/>
    <w:rsid w:val="00822C7C"/>
    <w:rsid w:val="00822F16"/>
    <w:rsid w:val="00824451"/>
    <w:rsid w:val="00824C7D"/>
    <w:rsid w:val="00824C92"/>
    <w:rsid w:val="00824F94"/>
    <w:rsid w:val="00825FE0"/>
    <w:rsid w:val="00826795"/>
    <w:rsid w:val="00826B9A"/>
    <w:rsid w:val="00827664"/>
    <w:rsid w:val="00827E32"/>
    <w:rsid w:val="00831358"/>
    <w:rsid w:val="0083326E"/>
    <w:rsid w:val="008343D1"/>
    <w:rsid w:val="00834936"/>
    <w:rsid w:val="0083505D"/>
    <w:rsid w:val="00835EA0"/>
    <w:rsid w:val="00836521"/>
    <w:rsid w:val="00837AE7"/>
    <w:rsid w:val="00837EC2"/>
    <w:rsid w:val="00837FD6"/>
    <w:rsid w:val="008435F7"/>
    <w:rsid w:val="008442CB"/>
    <w:rsid w:val="008442F1"/>
    <w:rsid w:val="008449DA"/>
    <w:rsid w:val="00846493"/>
    <w:rsid w:val="00850216"/>
    <w:rsid w:val="00851D8F"/>
    <w:rsid w:val="00852428"/>
    <w:rsid w:val="00853810"/>
    <w:rsid w:val="008544F4"/>
    <w:rsid w:val="00855CBB"/>
    <w:rsid w:val="00856840"/>
    <w:rsid w:val="0085694C"/>
    <w:rsid w:val="00856D3F"/>
    <w:rsid w:val="0085727D"/>
    <w:rsid w:val="00857DDB"/>
    <w:rsid w:val="00860227"/>
    <w:rsid w:val="00860B72"/>
    <w:rsid w:val="00861291"/>
    <w:rsid w:val="008615DF"/>
    <w:rsid w:val="00862181"/>
    <w:rsid w:val="008622FB"/>
    <w:rsid w:val="00863BE5"/>
    <w:rsid w:val="00864530"/>
    <w:rsid w:val="00865243"/>
    <w:rsid w:val="0086722E"/>
    <w:rsid w:val="00867776"/>
    <w:rsid w:val="008717CF"/>
    <w:rsid w:val="00872505"/>
    <w:rsid w:val="008753CD"/>
    <w:rsid w:val="008755A3"/>
    <w:rsid w:val="00880BB3"/>
    <w:rsid w:val="008815D5"/>
    <w:rsid w:val="00881710"/>
    <w:rsid w:val="00885435"/>
    <w:rsid w:val="0088709D"/>
    <w:rsid w:val="00891E0A"/>
    <w:rsid w:val="00892ABA"/>
    <w:rsid w:val="008935E3"/>
    <w:rsid w:val="008939BE"/>
    <w:rsid w:val="00893D20"/>
    <w:rsid w:val="00894B07"/>
    <w:rsid w:val="00894C92"/>
    <w:rsid w:val="00894D7D"/>
    <w:rsid w:val="00895228"/>
    <w:rsid w:val="008957C2"/>
    <w:rsid w:val="00896190"/>
    <w:rsid w:val="00897AE1"/>
    <w:rsid w:val="00897D54"/>
    <w:rsid w:val="008A0032"/>
    <w:rsid w:val="008A1CA5"/>
    <w:rsid w:val="008A4A38"/>
    <w:rsid w:val="008A677D"/>
    <w:rsid w:val="008A73C4"/>
    <w:rsid w:val="008B10C1"/>
    <w:rsid w:val="008B25B2"/>
    <w:rsid w:val="008B3424"/>
    <w:rsid w:val="008B3969"/>
    <w:rsid w:val="008B4D29"/>
    <w:rsid w:val="008B4ED0"/>
    <w:rsid w:val="008B678B"/>
    <w:rsid w:val="008C006C"/>
    <w:rsid w:val="008C0CCD"/>
    <w:rsid w:val="008C179D"/>
    <w:rsid w:val="008C19B3"/>
    <w:rsid w:val="008C2861"/>
    <w:rsid w:val="008C2D80"/>
    <w:rsid w:val="008D0276"/>
    <w:rsid w:val="008D0417"/>
    <w:rsid w:val="008D06CF"/>
    <w:rsid w:val="008D213B"/>
    <w:rsid w:val="008D3348"/>
    <w:rsid w:val="008D40B0"/>
    <w:rsid w:val="008D4240"/>
    <w:rsid w:val="008D4ADA"/>
    <w:rsid w:val="008D540C"/>
    <w:rsid w:val="008D5C78"/>
    <w:rsid w:val="008D6705"/>
    <w:rsid w:val="008D67D6"/>
    <w:rsid w:val="008D6DA6"/>
    <w:rsid w:val="008E1C20"/>
    <w:rsid w:val="008E2188"/>
    <w:rsid w:val="008E224D"/>
    <w:rsid w:val="008E2A4B"/>
    <w:rsid w:val="008E3EF8"/>
    <w:rsid w:val="008E454B"/>
    <w:rsid w:val="008E4AE1"/>
    <w:rsid w:val="008E4CC3"/>
    <w:rsid w:val="008E65F4"/>
    <w:rsid w:val="008F099E"/>
    <w:rsid w:val="008F100D"/>
    <w:rsid w:val="008F112F"/>
    <w:rsid w:val="008F1A2F"/>
    <w:rsid w:val="008F1D65"/>
    <w:rsid w:val="008F21C7"/>
    <w:rsid w:val="008F233C"/>
    <w:rsid w:val="008F3AC2"/>
    <w:rsid w:val="008F4674"/>
    <w:rsid w:val="008F511F"/>
    <w:rsid w:val="008F7767"/>
    <w:rsid w:val="00900E12"/>
    <w:rsid w:val="009030E4"/>
    <w:rsid w:val="0090344B"/>
    <w:rsid w:val="00903C1B"/>
    <w:rsid w:val="00903CA0"/>
    <w:rsid w:val="009056AC"/>
    <w:rsid w:val="009058F2"/>
    <w:rsid w:val="00905E10"/>
    <w:rsid w:val="00907203"/>
    <w:rsid w:val="009102CE"/>
    <w:rsid w:val="009103FC"/>
    <w:rsid w:val="00910D0D"/>
    <w:rsid w:val="009126CB"/>
    <w:rsid w:val="0091766E"/>
    <w:rsid w:val="00920AC4"/>
    <w:rsid w:val="00921D48"/>
    <w:rsid w:val="009232E6"/>
    <w:rsid w:val="0092362F"/>
    <w:rsid w:val="0092471F"/>
    <w:rsid w:val="0092620D"/>
    <w:rsid w:val="00927934"/>
    <w:rsid w:val="009301E1"/>
    <w:rsid w:val="00931CB5"/>
    <w:rsid w:val="00931EBA"/>
    <w:rsid w:val="009330DC"/>
    <w:rsid w:val="00933D6D"/>
    <w:rsid w:val="00934BDE"/>
    <w:rsid w:val="00934C30"/>
    <w:rsid w:val="00935F3A"/>
    <w:rsid w:val="00936547"/>
    <w:rsid w:val="00937C70"/>
    <w:rsid w:val="00944483"/>
    <w:rsid w:val="00945BD6"/>
    <w:rsid w:val="009464B2"/>
    <w:rsid w:val="009464CF"/>
    <w:rsid w:val="00950098"/>
    <w:rsid w:val="00950B0F"/>
    <w:rsid w:val="009518FA"/>
    <w:rsid w:val="00952604"/>
    <w:rsid w:val="00952605"/>
    <w:rsid w:val="00952608"/>
    <w:rsid w:val="00952A57"/>
    <w:rsid w:val="00953298"/>
    <w:rsid w:val="00953535"/>
    <w:rsid w:val="00953AB1"/>
    <w:rsid w:val="00953CD0"/>
    <w:rsid w:val="00954EF4"/>
    <w:rsid w:val="0095526E"/>
    <w:rsid w:val="00956888"/>
    <w:rsid w:val="00957198"/>
    <w:rsid w:val="00957A93"/>
    <w:rsid w:val="00957C2D"/>
    <w:rsid w:val="00961657"/>
    <w:rsid w:val="00961707"/>
    <w:rsid w:val="00961E8D"/>
    <w:rsid w:val="00962410"/>
    <w:rsid w:val="00962DEA"/>
    <w:rsid w:val="0096354E"/>
    <w:rsid w:val="00963DAC"/>
    <w:rsid w:val="00964C12"/>
    <w:rsid w:val="0096570D"/>
    <w:rsid w:val="00965ABD"/>
    <w:rsid w:val="00965F2F"/>
    <w:rsid w:val="009661BF"/>
    <w:rsid w:val="00966A35"/>
    <w:rsid w:val="00967219"/>
    <w:rsid w:val="00967408"/>
    <w:rsid w:val="009712A3"/>
    <w:rsid w:val="009718B5"/>
    <w:rsid w:val="00972933"/>
    <w:rsid w:val="00972F70"/>
    <w:rsid w:val="00974AA7"/>
    <w:rsid w:val="00975720"/>
    <w:rsid w:val="009759D8"/>
    <w:rsid w:val="009806E7"/>
    <w:rsid w:val="00981662"/>
    <w:rsid w:val="009844BC"/>
    <w:rsid w:val="00986777"/>
    <w:rsid w:val="00987A2E"/>
    <w:rsid w:val="00987EA7"/>
    <w:rsid w:val="00990E9C"/>
    <w:rsid w:val="00991302"/>
    <w:rsid w:val="00991424"/>
    <w:rsid w:val="00992B64"/>
    <w:rsid w:val="0099329D"/>
    <w:rsid w:val="00993BCD"/>
    <w:rsid w:val="009965E3"/>
    <w:rsid w:val="00996F05"/>
    <w:rsid w:val="00997BE2"/>
    <w:rsid w:val="009A1162"/>
    <w:rsid w:val="009A1169"/>
    <w:rsid w:val="009A1D38"/>
    <w:rsid w:val="009A3522"/>
    <w:rsid w:val="009A46AC"/>
    <w:rsid w:val="009B1429"/>
    <w:rsid w:val="009B160B"/>
    <w:rsid w:val="009B18B5"/>
    <w:rsid w:val="009B78EE"/>
    <w:rsid w:val="009C02BB"/>
    <w:rsid w:val="009C2B2E"/>
    <w:rsid w:val="009C30DF"/>
    <w:rsid w:val="009C383F"/>
    <w:rsid w:val="009C50BF"/>
    <w:rsid w:val="009C512C"/>
    <w:rsid w:val="009C569F"/>
    <w:rsid w:val="009C5F56"/>
    <w:rsid w:val="009C6D11"/>
    <w:rsid w:val="009D0A9D"/>
    <w:rsid w:val="009D1039"/>
    <w:rsid w:val="009D14C8"/>
    <w:rsid w:val="009D2E0D"/>
    <w:rsid w:val="009D392C"/>
    <w:rsid w:val="009D39DA"/>
    <w:rsid w:val="009D401D"/>
    <w:rsid w:val="009D4A01"/>
    <w:rsid w:val="009D4C10"/>
    <w:rsid w:val="009D5C35"/>
    <w:rsid w:val="009D68B1"/>
    <w:rsid w:val="009E08CE"/>
    <w:rsid w:val="009E1179"/>
    <w:rsid w:val="009E1F85"/>
    <w:rsid w:val="009E22B0"/>
    <w:rsid w:val="009E3F49"/>
    <w:rsid w:val="009E4373"/>
    <w:rsid w:val="009E5176"/>
    <w:rsid w:val="009E5692"/>
    <w:rsid w:val="009E5813"/>
    <w:rsid w:val="009E5B1B"/>
    <w:rsid w:val="009E708C"/>
    <w:rsid w:val="009E7FE2"/>
    <w:rsid w:val="009F14D6"/>
    <w:rsid w:val="009F1CB6"/>
    <w:rsid w:val="009F2161"/>
    <w:rsid w:val="009F2A51"/>
    <w:rsid w:val="009F2B80"/>
    <w:rsid w:val="009F2E4F"/>
    <w:rsid w:val="009F4A02"/>
    <w:rsid w:val="009F51B9"/>
    <w:rsid w:val="009F5F40"/>
    <w:rsid w:val="009F66BE"/>
    <w:rsid w:val="00A00233"/>
    <w:rsid w:val="00A00952"/>
    <w:rsid w:val="00A00A64"/>
    <w:rsid w:val="00A00CBF"/>
    <w:rsid w:val="00A03C12"/>
    <w:rsid w:val="00A03E1E"/>
    <w:rsid w:val="00A0429A"/>
    <w:rsid w:val="00A07300"/>
    <w:rsid w:val="00A10BDE"/>
    <w:rsid w:val="00A10E9C"/>
    <w:rsid w:val="00A10FA5"/>
    <w:rsid w:val="00A11B8E"/>
    <w:rsid w:val="00A13EEA"/>
    <w:rsid w:val="00A13FB9"/>
    <w:rsid w:val="00A14F45"/>
    <w:rsid w:val="00A156F0"/>
    <w:rsid w:val="00A17813"/>
    <w:rsid w:val="00A20113"/>
    <w:rsid w:val="00A20A05"/>
    <w:rsid w:val="00A218B0"/>
    <w:rsid w:val="00A22839"/>
    <w:rsid w:val="00A229D2"/>
    <w:rsid w:val="00A2335D"/>
    <w:rsid w:val="00A23F65"/>
    <w:rsid w:val="00A24235"/>
    <w:rsid w:val="00A26B94"/>
    <w:rsid w:val="00A272AF"/>
    <w:rsid w:val="00A31B6F"/>
    <w:rsid w:val="00A31DC0"/>
    <w:rsid w:val="00A32333"/>
    <w:rsid w:val="00A323D9"/>
    <w:rsid w:val="00A33185"/>
    <w:rsid w:val="00A33323"/>
    <w:rsid w:val="00A33D03"/>
    <w:rsid w:val="00A343B2"/>
    <w:rsid w:val="00A34F3C"/>
    <w:rsid w:val="00A35188"/>
    <w:rsid w:val="00A367E0"/>
    <w:rsid w:val="00A37054"/>
    <w:rsid w:val="00A4242B"/>
    <w:rsid w:val="00A43443"/>
    <w:rsid w:val="00A43FF5"/>
    <w:rsid w:val="00A45F6E"/>
    <w:rsid w:val="00A50102"/>
    <w:rsid w:val="00A50259"/>
    <w:rsid w:val="00A50565"/>
    <w:rsid w:val="00A51DA2"/>
    <w:rsid w:val="00A51E44"/>
    <w:rsid w:val="00A52A82"/>
    <w:rsid w:val="00A52D69"/>
    <w:rsid w:val="00A53151"/>
    <w:rsid w:val="00A533C8"/>
    <w:rsid w:val="00A53B04"/>
    <w:rsid w:val="00A53BFE"/>
    <w:rsid w:val="00A54694"/>
    <w:rsid w:val="00A55425"/>
    <w:rsid w:val="00A554C7"/>
    <w:rsid w:val="00A57348"/>
    <w:rsid w:val="00A57770"/>
    <w:rsid w:val="00A6066F"/>
    <w:rsid w:val="00A6206B"/>
    <w:rsid w:val="00A64789"/>
    <w:rsid w:val="00A659B7"/>
    <w:rsid w:val="00A66B94"/>
    <w:rsid w:val="00A66EE4"/>
    <w:rsid w:val="00A70327"/>
    <w:rsid w:val="00A712E8"/>
    <w:rsid w:val="00A72152"/>
    <w:rsid w:val="00A7271A"/>
    <w:rsid w:val="00A7359D"/>
    <w:rsid w:val="00A7379D"/>
    <w:rsid w:val="00A74221"/>
    <w:rsid w:val="00A76D41"/>
    <w:rsid w:val="00A76E13"/>
    <w:rsid w:val="00A774A7"/>
    <w:rsid w:val="00A77B8F"/>
    <w:rsid w:val="00A77BB9"/>
    <w:rsid w:val="00A805B2"/>
    <w:rsid w:val="00A81514"/>
    <w:rsid w:val="00A81CE0"/>
    <w:rsid w:val="00A829B8"/>
    <w:rsid w:val="00A83A77"/>
    <w:rsid w:val="00A83E33"/>
    <w:rsid w:val="00A85FA8"/>
    <w:rsid w:val="00A870EE"/>
    <w:rsid w:val="00A87D50"/>
    <w:rsid w:val="00A87FA4"/>
    <w:rsid w:val="00A90476"/>
    <w:rsid w:val="00A9141E"/>
    <w:rsid w:val="00A925C6"/>
    <w:rsid w:val="00A92D25"/>
    <w:rsid w:val="00A92E5B"/>
    <w:rsid w:val="00A938C3"/>
    <w:rsid w:val="00A95580"/>
    <w:rsid w:val="00A969AA"/>
    <w:rsid w:val="00AA2609"/>
    <w:rsid w:val="00AA383D"/>
    <w:rsid w:val="00AA4AD6"/>
    <w:rsid w:val="00AA5DFC"/>
    <w:rsid w:val="00AA6185"/>
    <w:rsid w:val="00AA72DB"/>
    <w:rsid w:val="00AA7F02"/>
    <w:rsid w:val="00AB4C90"/>
    <w:rsid w:val="00AB6082"/>
    <w:rsid w:val="00AB61C6"/>
    <w:rsid w:val="00AB795F"/>
    <w:rsid w:val="00AC0A97"/>
    <w:rsid w:val="00AC0BB3"/>
    <w:rsid w:val="00AC1460"/>
    <w:rsid w:val="00AC14C2"/>
    <w:rsid w:val="00AC20C2"/>
    <w:rsid w:val="00AC26D4"/>
    <w:rsid w:val="00AC2BAA"/>
    <w:rsid w:val="00AC2FFE"/>
    <w:rsid w:val="00AC34B2"/>
    <w:rsid w:val="00AC3718"/>
    <w:rsid w:val="00AC41DD"/>
    <w:rsid w:val="00AC44E8"/>
    <w:rsid w:val="00AC55F8"/>
    <w:rsid w:val="00AC6312"/>
    <w:rsid w:val="00AC66C5"/>
    <w:rsid w:val="00AD0C27"/>
    <w:rsid w:val="00AD0C57"/>
    <w:rsid w:val="00AD1A8D"/>
    <w:rsid w:val="00AD2288"/>
    <w:rsid w:val="00AD2795"/>
    <w:rsid w:val="00AD4DC5"/>
    <w:rsid w:val="00AD51B1"/>
    <w:rsid w:val="00AD51B2"/>
    <w:rsid w:val="00AD5506"/>
    <w:rsid w:val="00AD599F"/>
    <w:rsid w:val="00AD6E03"/>
    <w:rsid w:val="00AD73E5"/>
    <w:rsid w:val="00AD7B51"/>
    <w:rsid w:val="00AE3ADC"/>
    <w:rsid w:val="00AE4D79"/>
    <w:rsid w:val="00AE4DD7"/>
    <w:rsid w:val="00AE517F"/>
    <w:rsid w:val="00AE54DB"/>
    <w:rsid w:val="00AE5AA1"/>
    <w:rsid w:val="00AE7638"/>
    <w:rsid w:val="00AF0CA6"/>
    <w:rsid w:val="00AF1127"/>
    <w:rsid w:val="00AF135A"/>
    <w:rsid w:val="00AF15CE"/>
    <w:rsid w:val="00AF2B2C"/>
    <w:rsid w:val="00AF438A"/>
    <w:rsid w:val="00AF598E"/>
    <w:rsid w:val="00AF5EBA"/>
    <w:rsid w:val="00AF641A"/>
    <w:rsid w:val="00AF6757"/>
    <w:rsid w:val="00AF6ED8"/>
    <w:rsid w:val="00AF6F1B"/>
    <w:rsid w:val="00B0165A"/>
    <w:rsid w:val="00B01AAD"/>
    <w:rsid w:val="00B024AC"/>
    <w:rsid w:val="00B047D0"/>
    <w:rsid w:val="00B05444"/>
    <w:rsid w:val="00B05EBD"/>
    <w:rsid w:val="00B0628A"/>
    <w:rsid w:val="00B06904"/>
    <w:rsid w:val="00B073A3"/>
    <w:rsid w:val="00B1160D"/>
    <w:rsid w:val="00B116E9"/>
    <w:rsid w:val="00B125B1"/>
    <w:rsid w:val="00B13A91"/>
    <w:rsid w:val="00B13B65"/>
    <w:rsid w:val="00B13EAF"/>
    <w:rsid w:val="00B1405B"/>
    <w:rsid w:val="00B14AD4"/>
    <w:rsid w:val="00B15848"/>
    <w:rsid w:val="00B16263"/>
    <w:rsid w:val="00B16578"/>
    <w:rsid w:val="00B16765"/>
    <w:rsid w:val="00B173AD"/>
    <w:rsid w:val="00B17948"/>
    <w:rsid w:val="00B22532"/>
    <w:rsid w:val="00B22CA8"/>
    <w:rsid w:val="00B24B8E"/>
    <w:rsid w:val="00B24D90"/>
    <w:rsid w:val="00B24FC0"/>
    <w:rsid w:val="00B25BEB"/>
    <w:rsid w:val="00B25D53"/>
    <w:rsid w:val="00B271FD"/>
    <w:rsid w:val="00B2735F"/>
    <w:rsid w:val="00B302F8"/>
    <w:rsid w:val="00B30899"/>
    <w:rsid w:val="00B33FCB"/>
    <w:rsid w:val="00B352D9"/>
    <w:rsid w:val="00B35477"/>
    <w:rsid w:val="00B35F50"/>
    <w:rsid w:val="00B37595"/>
    <w:rsid w:val="00B40839"/>
    <w:rsid w:val="00B40A0E"/>
    <w:rsid w:val="00B40EB7"/>
    <w:rsid w:val="00B41ECB"/>
    <w:rsid w:val="00B42144"/>
    <w:rsid w:val="00B427A7"/>
    <w:rsid w:val="00B42EF3"/>
    <w:rsid w:val="00B436C6"/>
    <w:rsid w:val="00B44CB2"/>
    <w:rsid w:val="00B44CEE"/>
    <w:rsid w:val="00B45938"/>
    <w:rsid w:val="00B45A6C"/>
    <w:rsid w:val="00B477F4"/>
    <w:rsid w:val="00B47938"/>
    <w:rsid w:val="00B51F06"/>
    <w:rsid w:val="00B53EFF"/>
    <w:rsid w:val="00B54070"/>
    <w:rsid w:val="00B5461F"/>
    <w:rsid w:val="00B54AFA"/>
    <w:rsid w:val="00B57D38"/>
    <w:rsid w:val="00B60497"/>
    <w:rsid w:val="00B60E46"/>
    <w:rsid w:val="00B610A7"/>
    <w:rsid w:val="00B62583"/>
    <w:rsid w:val="00B628F4"/>
    <w:rsid w:val="00B630A5"/>
    <w:rsid w:val="00B63C98"/>
    <w:rsid w:val="00B66169"/>
    <w:rsid w:val="00B6659C"/>
    <w:rsid w:val="00B669C0"/>
    <w:rsid w:val="00B67039"/>
    <w:rsid w:val="00B672AF"/>
    <w:rsid w:val="00B71516"/>
    <w:rsid w:val="00B7192E"/>
    <w:rsid w:val="00B75106"/>
    <w:rsid w:val="00B76426"/>
    <w:rsid w:val="00B767E7"/>
    <w:rsid w:val="00B7719A"/>
    <w:rsid w:val="00B804E8"/>
    <w:rsid w:val="00B808B3"/>
    <w:rsid w:val="00B832BF"/>
    <w:rsid w:val="00B842A2"/>
    <w:rsid w:val="00B860EA"/>
    <w:rsid w:val="00B8664A"/>
    <w:rsid w:val="00B874E4"/>
    <w:rsid w:val="00B87DA1"/>
    <w:rsid w:val="00B91573"/>
    <w:rsid w:val="00B93242"/>
    <w:rsid w:val="00B95775"/>
    <w:rsid w:val="00B95DC7"/>
    <w:rsid w:val="00B960D4"/>
    <w:rsid w:val="00B96CB9"/>
    <w:rsid w:val="00B96E41"/>
    <w:rsid w:val="00B972D9"/>
    <w:rsid w:val="00BA037A"/>
    <w:rsid w:val="00BA2F19"/>
    <w:rsid w:val="00BA32FF"/>
    <w:rsid w:val="00BA3AB5"/>
    <w:rsid w:val="00BA3E2F"/>
    <w:rsid w:val="00BA442A"/>
    <w:rsid w:val="00BA52A2"/>
    <w:rsid w:val="00BA5BE0"/>
    <w:rsid w:val="00BA5D81"/>
    <w:rsid w:val="00BA72FE"/>
    <w:rsid w:val="00BB0A57"/>
    <w:rsid w:val="00BB2D40"/>
    <w:rsid w:val="00BB485A"/>
    <w:rsid w:val="00BB60A4"/>
    <w:rsid w:val="00BB7370"/>
    <w:rsid w:val="00BB750C"/>
    <w:rsid w:val="00BB7FA8"/>
    <w:rsid w:val="00BC12ED"/>
    <w:rsid w:val="00BC1681"/>
    <w:rsid w:val="00BC206C"/>
    <w:rsid w:val="00BC33D6"/>
    <w:rsid w:val="00BD1EA7"/>
    <w:rsid w:val="00BD22E6"/>
    <w:rsid w:val="00BD2623"/>
    <w:rsid w:val="00BD2AC5"/>
    <w:rsid w:val="00BD3BBF"/>
    <w:rsid w:val="00BD51DB"/>
    <w:rsid w:val="00BD596A"/>
    <w:rsid w:val="00BD6EA7"/>
    <w:rsid w:val="00BE0571"/>
    <w:rsid w:val="00BE09C5"/>
    <w:rsid w:val="00BE11F6"/>
    <w:rsid w:val="00BE1732"/>
    <w:rsid w:val="00BE1DDA"/>
    <w:rsid w:val="00BE36D5"/>
    <w:rsid w:val="00BE3D10"/>
    <w:rsid w:val="00BE6C73"/>
    <w:rsid w:val="00BE7660"/>
    <w:rsid w:val="00BF020B"/>
    <w:rsid w:val="00BF1F99"/>
    <w:rsid w:val="00BF2B08"/>
    <w:rsid w:val="00BF447F"/>
    <w:rsid w:val="00BF6C2C"/>
    <w:rsid w:val="00BF75ED"/>
    <w:rsid w:val="00BF7A26"/>
    <w:rsid w:val="00C00C34"/>
    <w:rsid w:val="00C01A35"/>
    <w:rsid w:val="00C02097"/>
    <w:rsid w:val="00C02C5E"/>
    <w:rsid w:val="00C036DF"/>
    <w:rsid w:val="00C0373A"/>
    <w:rsid w:val="00C069A5"/>
    <w:rsid w:val="00C06A6E"/>
    <w:rsid w:val="00C07569"/>
    <w:rsid w:val="00C104BF"/>
    <w:rsid w:val="00C1490A"/>
    <w:rsid w:val="00C14DCC"/>
    <w:rsid w:val="00C162A3"/>
    <w:rsid w:val="00C17791"/>
    <w:rsid w:val="00C17FE4"/>
    <w:rsid w:val="00C2085E"/>
    <w:rsid w:val="00C2099F"/>
    <w:rsid w:val="00C219D6"/>
    <w:rsid w:val="00C2293B"/>
    <w:rsid w:val="00C22A38"/>
    <w:rsid w:val="00C232D8"/>
    <w:rsid w:val="00C24AE1"/>
    <w:rsid w:val="00C2604E"/>
    <w:rsid w:val="00C26AEB"/>
    <w:rsid w:val="00C279E9"/>
    <w:rsid w:val="00C304F0"/>
    <w:rsid w:val="00C31DDB"/>
    <w:rsid w:val="00C31FA2"/>
    <w:rsid w:val="00C332F8"/>
    <w:rsid w:val="00C35CCA"/>
    <w:rsid w:val="00C36E25"/>
    <w:rsid w:val="00C36F0F"/>
    <w:rsid w:val="00C400BC"/>
    <w:rsid w:val="00C40EAD"/>
    <w:rsid w:val="00C40FC9"/>
    <w:rsid w:val="00C4112D"/>
    <w:rsid w:val="00C415AF"/>
    <w:rsid w:val="00C4209C"/>
    <w:rsid w:val="00C424C8"/>
    <w:rsid w:val="00C448CF"/>
    <w:rsid w:val="00C45CF6"/>
    <w:rsid w:val="00C46898"/>
    <w:rsid w:val="00C50502"/>
    <w:rsid w:val="00C5236A"/>
    <w:rsid w:val="00C52CAA"/>
    <w:rsid w:val="00C541A8"/>
    <w:rsid w:val="00C54349"/>
    <w:rsid w:val="00C57267"/>
    <w:rsid w:val="00C57A0D"/>
    <w:rsid w:val="00C57FBE"/>
    <w:rsid w:val="00C60D02"/>
    <w:rsid w:val="00C61CE7"/>
    <w:rsid w:val="00C636C2"/>
    <w:rsid w:val="00C649DF"/>
    <w:rsid w:val="00C6530C"/>
    <w:rsid w:val="00C700D5"/>
    <w:rsid w:val="00C70F96"/>
    <w:rsid w:val="00C71252"/>
    <w:rsid w:val="00C71B6A"/>
    <w:rsid w:val="00C7214C"/>
    <w:rsid w:val="00C736CB"/>
    <w:rsid w:val="00C740B0"/>
    <w:rsid w:val="00C74465"/>
    <w:rsid w:val="00C761FE"/>
    <w:rsid w:val="00C76666"/>
    <w:rsid w:val="00C801D4"/>
    <w:rsid w:val="00C8079C"/>
    <w:rsid w:val="00C81947"/>
    <w:rsid w:val="00C8343F"/>
    <w:rsid w:val="00C83EFD"/>
    <w:rsid w:val="00C8529F"/>
    <w:rsid w:val="00C858E4"/>
    <w:rsid w:val="00C85D12"/>
    <w:rsid w:val="00C90A80"/>
    <w:rsid w:val="00C924A7"/>
    <w:rsid w:val="00C93368"/>
    <w:rsid w:val="00C9455C"/>
    <w:rsid w:val="00C959A6"/>
    <w:rsid w:val="00C96F4A"/>
    <w:rsid w:val="00C9707A"/>
    <w:rsid w:val="00C97D07"/>
    <w:rsid w:val="00CA04DE"/>
    <w:rsid w:val="00CA050A"/>
    <w:rsid w:val="00CA10B9"/>
    <w:rsid w:val="00CA1351"/>
    <w:rsid w:val="00CA3A0F"/>
    <w:rsid w:val="00CA60A9"/>
    <w:rsid w:val="00CA6707"/>
    <w:rsid w:val="00CB01F5"/>
    <w:rsid w:val="00CB1A89"/>
    <w:rsid w:val="00CB1B58"/>
    <w:rsid w:val="00CB210E"/>
    <w:rsid w:val="00CB2691"/>
    <w:rsid w:val="00CB2851"/>
    <w:rsid w:val="00CB3146"/>
    <w:rsid w:val="00CB4134"/>
    <w:rsid w:val="00CB4B2A"/>
    <w:rsid w:val="00CC124A"/>
    <w:rsid w:val="00CC2689"/>
    <w:rsid w:val="00CC3819"/>
    <w:rsid w:val="00CC4968"/>
    <w:rsid w:val="00CC4A15"/>
    <w:rsid w:val="00CC4B55"/>
    <w:rsid w:val="00CC5DF2"/>
    <w:rsid w:val="00CC753D"/>
    <w:rsid w:val="00CD0219"/>
    <w:rsid w:val="00CD0A03"/>
    <w:rsid w:val="00CD1E96"/>
    <w:rsid w:val="00CD2BB1"/>
    <w:rsid w:val="00CD735C"/>
    <w:rsid w:val="00CE10BA"/>
    <w:rsid w:val="00CE1C9A"/>
    <w:rsid w:val="00CE22F9"/>
    <w:rsid w:val="00CE2818"/>
    <w:rsid w:val="00CE38D4"/>
    <w:rsid w:val="00CE4779"/>
    <w:rsid w:val="00CE48DC"/>
    <w:rsid w:val="00CE4AD3"/>
    <w:rsid w:val="00CE5E50"/>
    <w:rsid w:val="00CE5E99"/>
    <w:rsid w:val="00CE77A2"/>
    <w:rsid w:val="00CF0653"/>
    <w:rsid w:val="00CF0D3D"/>
    <w:rsid w:val="00CF0FC4"/>
    <w:rsid w:val="00CF1B0C"/>
    <w:rsid w:val="00CF3608"/>
    <w:rsid w:val="00CF3C3D"/>
    <w:rsid w:val="00CF3C93"/>
    <w:rsid w:val="00CF462D"/>
    <w:rsid w:val="00CF4A50"/>
    <w:rsid w:val="00CF4AB6"/>
    <w:rsid w:val="00CF68B3"/>
    <w:rsid w:val="00CF6932"/>
    <w:rsid w:val="00D01625"/>
    <w:rsid w:val="00D0359B"/>
    <w:rsid w:val="00D042DC"/>
    <w:rsid w:val="00D04878"/>
    <w:rsid w:val="00D04B31"/>
    <w:rsid w:val="00D04D30"/>
    <w:rsid w:val="00D068D3"/>
    <w:rsid w:val="00D07576"/>
    <w:rsid w:val="00D07EDA"/>
    <w:rsid w:val="00D10C04"/>
    <w:rsid w:val="00D13CE0"/>
    <w:rsid w:val="00D149A3"/>
    <w:rsid w:val="00D15EE6"/>
    <w:rsid w:val="00D164AF"/>
    <w:rsid w:val="00D165A4"/>
    <w:rsid w:val="00D17B17"/>
    <w:rsid w:val="00D20D5B"/>
    <w:rsid w:val="00D217F5"/>
    <w:rsid w:val="00D236CE"/>
    <w:rsid w:val="00D23D0E"/>
    <w:rsid w:val="00D23EDC"/>
    <w:rsid w:val="00D251DF"/>
    <w:rsid w:val="00D258AC"/>
    <w:rsid w:val="00D26F3A"/>
    <w:rsid w:val="00D27440"/>
    <w:rsid w:val="00D30E09"/>
    <w:rsid w:val="00D32187"/>
    <w:rsid w:val="00D325FE"/>
    <w:rsid w:val="00D32A8C"/>
    <w:rsid w:val="00D3333D"/>
    <w:rsid w:val="00D33D13"/>
    <w:rsid w:val="00D341B1"/>
    <w:rsid w:val="00D345A4"/>
    <w:rsid w:val="00D37522"/>
    <w:rsid w:val="00D37F2F"/>
    <w:rsid w:val="00D42F5C"/>
    <w:rsid w:val="00D44988"/>
    <w:rsid w:val="00D44E09"/>
    <w:rsid w:val="00D4537D"/>
    <w:rsid w:val="00D4573F"/>
    <w:rsid w:val="00D46ECA"/>
    <w:rsid w:val="00D47F50"/>
    <w:rsid w:val="00D52D46"/>
    <w:rsid w:val="00D534E2"/>
    <w:rsid w:val="00D537F6"/>
    <w:rsid w:val="00D54B98"/>
    <w:rsid w:val="00D55D81"/>
    <w:rsid w:val="00D57576"/>
    <w:rsid w:val="00D575A8"/>
    <w:rsid w:val="00D57692"/>
    <w:rsid w:val="00D57782"/>
    <w:rsid w:val="00D57E7F"/>
    <w:rsid w:val="00D60230"/>
    <w:rsid w:val="00D6091A"/>
    <w:rsid w:val="00D621A6"/>
    <w:rsid w:val="00D6268F"/>
    <w:rsid w:val="00D6294E"/>
    <w:rsid w:val="00D62E18"/>
    <w:rsid w:val="00D63890"/>
    <w:rsid w:val="00D63B83"/>
    <w:rsid w:val="00D645B0"/>
    <w:rsid w:val="00D64B01"/>
    <w:rsid w:val="00D669D5"/>
    <w:rsid w:val="00D67AC1"/>
    <w:rsid w:val="00D709CF"/>
    <w:rsid w:val="00D70E24"/>
    <w:rsid w:val="00D71F83"/>
    <w:rsid w:val="00D72315"/>
    <w:rsid w:val="00D73C5B"/>
    <w:rsid w:val="00D74CBC"/>
    <w:rsid w:val="00D74E6F"/>
    <w:rsid w:val="00D74F2C"/>
    <w:rsid w:val="00D74F9F"/>
    <w:rsid w:val="00D75528"/>
    <w:rsid w:val="00D75981"/>
    <w:rsid w:val="00D77527"/>
    <w:rsid w:val="00D801C1"/>
    <w:rsid w:val="00D80B11"/>
    <w:rsid w:val="00D81219"/>
    <w:rsid w:val="00D827C7"/>
    <w:rsid w:val="00D835CF"/>
    <w:rsid w:val="00D8425F"/>
    <w:rsid w:val="00D85184"/>
    <w:rsid w:val="00D8519B"/>
    <w:rsid w:val="00D851E6"/>
    <w:rsid w:val="00D90114"/>
    <w:rsid w:val="00D91BBC"/>
    <w:rsid w:val="00D92878"/>
    <w:rsid w:val="00D9410F"/>
    <w:rsid w:val="00D94CFB"/>
    <w:rsid w:val="00D9674E"/>
    <w:rsid w:val="00D97004"/>
    <w:rsid w:val="00D9714F"/>
    <w:rsid w:val="00D97F6E"/>
    <w:rsid w:val="00DA15A8"/>
    <w:rsid w:val="00DA17A5"/>
    <w:rsid w:val="00DA26FB"/>
    <w:rsid w:val="00DA516D"/>
    <w:rsid w:val="00DA6F37"/>
    <w:rsid w:val="00DA71C3"/>
    <w:rsid w:val="00DA71DF"/>
    <w:rsid w:val="00DA79D7"/>
    <w:rsid w:val="00DB0FDF"/>
    <w:rsid w:val="00DB1472"/>
    <w:rsid w:val="00DB19FC"/>
    <w:rsid w:val="00DB20A2"/>
    <w:rsid w:val="00DB2E72"/>
    <w:rsid w:val="00DB3161"/>
    <w:rsid w:val="00DB4109"/>
    <w:rsid w:val="00DB4DB4"/>
    <w:rsid w:val="00DB69D1"/>
    <w:rsid w:val="00DB6C3D"/>
    <w:rsid w:val="00DB7BED"/>
    <w:rsid w:val="00DC01E7"/>
    <w:rsid w:val="00DC128E"/>
    <w:rsid w:val="00DC1FE3"/>
    <w:rsid w:val="00DC2166"/>
    <w:rsid w:val="00DC2609"/>
    <w:rsid w:val="00DC4901"/>
    <w:rsid w:val="00DC5ACF"/>
    <w:rsid w:val="00DC5AEC"/>
    <w:rsid w:val="00DC65F6"/>
    <w:rsid w:val="00DC6BE7"/>
    <w:rsid w:val="00DC76F0"/>
    <w:rsid w:val="00DC7ADC"/>
    <w:rsid w:val="00DD0380"/>
    <w:rsid w:val="00DD0511"/>
    <w:rsid w:val="00DD1847"/>
    <w:rsid w:val="00DD3A49"/>
    <w:rsid w:val="00DD3C11"/>
    <w:rsid w:val="00DD4356"/>
    <w:rsid w:val="00DD5B35"/>
    <w:rsid w:val="00DD6AC4"/>
    <w:rsid w:val="00DD72DA"/>
    <w:rsid w:val="00DE030F"/>
    <w:rsid w:val="00DE0509"/>
    <w:rsid w:val="00DE1242"/>
    <w:rsid w:val="00DE139F"/>
    <w:rsid w:val="00DE2DFD"/>
    <w:rsid w:val="00DE2FCF"/>
    <w:rsid w:val="00DE4BC5"/>
    <w:rsid w:val="00DE5AED"/>
    <w:rsid w:val="00DE71D3"/>
    <w:rsid w:val="00DF041B"/>
    <w:rsid w:val="00DF08A0"/>
    <w:rsid w:val="00DF1633"/>
    <w:rsid w:val="00DF41B0"/>
    <w:rsid w:val="00DF57F7"/>
    <w:rsid w:val="00DF582A"/>
    <w:rsid w:val="00DF7785"/>
    <w:rsid w:val="00E00835"/>
    <w:rsid w:val="00E00A51"/>
    <w:rsid w:val="00E04578"/>
    <w:rsid w:val="00E07305"/>
    <w:rsid w:val="00E10D59"/>
    <w:rsid w:val="00E121EB"/>
    <w:rsid w:val="00E13D48"/>
    <w:rsid w:val="00E176B7"/>
    <w:rsid w:val="00E17F6D"/>
    <w:rsid w:val="00E204CF"/>
    <w:rsid w:val="00E20900"/>
    <w:rsid w:val="00E20DFD"/>
    <w:rsid w:val="00E210B9"/>
    <w:rsid w:val="00E21B23"/>
    <w:rsid w:val="00E222D0"/>
    <w:rsid w:val="00E2312A"/>
    <w:rsid w:val="00E23241"/>
    <w:rsid w:val="00E23D8D"/>
    <w:rsid w:val="00E245ED"/>
    <w:rsid w:val="00E262DE"/>
    <w:rsid w:val="00E276E1"/>
    <w:rsid w:val="00E321DF"/>
    <w:rsid w:val="00E32711"/>
    <w:rsid w:val="00E33042"/>
    <w:rsid w:val="00E338B3"/>
    <w:rsid w:val="00E35125"/>
    <w:rsid w:val="00E35A9A"/>
    <w:rsid w:val="00E3653E"/>
    <w:rsid w:val="00E36CA7"/>
    <w:rsid w:val="00E36ECB"/>
    <w:rsid w:val="00E37974"/>
    <w:rsid w:val="00E409A4"/>
    <w:rsid w:val="00E42E3D"/>
    <w:rsid w:val="00E43E37"/>
    <w:rsid w:val="00E4422D"/>
    <w:rsid w:val="00E44D88"/>
    <w:rsid w:val="00E4537B"/>
    <w:rsid w:val="00E45B58"/>
    <w:rsid w:val="00E45D9C"/>
    <w:rsid w:val="00E46227"/>
    <w:rsid w:val="00E46742"/>
    <w:rsid w:val="00E50E45"/>
    <w:rsid w:val="00E51227"/>
    <w:rsid w:val="00E51655"/>
    <w:rsid w:val="00E528A2"/>
    <w:rsid w:val="00E53F84"/>
    <w:rsid w:val="00E54720"/>
    <w:rsid w:val="00E54FB7"/>
    <w:rsid w:val="00E606F3"/>
    <w:rsid w:val="00E614EA"/>
    <w:rsid w:val="00E621F0"/>
    <w:rsid w:val="00E634A6"/>
    <w:rsid w:val="00E6369A"/>
    <w:rsid w:val="00E63ECB"/>
    <w:rsid w:val="00E6414C"/>
    <w:rsid w:val="00E64A41"/>
    <w:rsid w:val="00E653B5"/>
    <w:rsid w:val="00E66211"/>
    <w:rsid w:val="00E662CB"/>
    <w:rsid w:val="00E671D5"/>
    <w:rsid w:val="00E67AD0"/>
    <w:rsid w:val="00E701F5"/>
    <w:rsid w:val="00E70285"/>
    <w:rsid w:val="00E71947"/>
    <w:rsid w:val="00E73627"/>
    <w:rsid w:val="00E73C8D"/>
    <w:rsid w:val="00E74909"/>
    <w:rsid w:val="00E751D2"/>
    <w:rsid w:val="00E77B2E"/>
    <w:rsid w:val="00E77F63"/>
    <w:rsid w:val="00E81863"/>
    <w:rsid w:val="00E81CDB"/>
    <w:rsid w:val="00E82FDF"/>
    <w:rsid w:val="00E83168"/>
    <w:rsid w:val="00E836A2"/>
    <w:rsid w:val="00E8374A"/>
    <w:rsid w:val="00E83942"/>
    <w:rsid w:val="00E867BC"/>
    <w:rsid w:val="00E871FD"/>
    <w:rsid w:val="00E9008D"/>
    <w:rsid w:val="00E9195A"/>
    <w:rsid w:val="00E91D2B"/>
    <w:rsid w:val="00E92D72"/>
    <w:rsid w:val="00EA0C8D"/>
    <w:rsid w:val="00EA341D"/>
    <w:rsid w:val="00EA5DE4"/>
    <w:rsid w:val="00EA628D"/>
    <w:rsid w:val="00EA64B8"/>
    <w:rsid w:val="00EA6835"/>
    <w:rsid w:val="00EA7740"/>
    <w:rsid w:val="00EB2DA7"/>
    <w:rsid w:val="00EB4273"/>
    <w:rsid w:val="00EB4D15"/>
    <w:rsid w:val="00EB50F9"/>
    <w:rsid w:val="00EB5E57"/>
    <w:rsid w:val="00EB620E"/>
    <w:rsid w:val="00EB6D76"/>
    <w:rsid w:val="00EB7D9E"/>
    <w:rsid w:val="00EC0063"/>
    <w:rsid w:val="00EC0C4D"/>
    <w:rsid w:val="00EC1E32"/>
    <w:rsid w:val="00EC4DF1"/>
    <w:rsid w:val="00EC50FB"/>
    <w:rsid w:val="00EC54A2"/>
    <w:rsid w:val="00EC54FC"/>
    <w:rsid w:val="00EC64D6"/>
    <w:rsid w:val="00EC6F66"/>
    <w:rsid w:val="00EC704C"/>
    <w:rsid w:val="00EC7194"/>
    <w:rsid w:val="00ED1B32"/>
    <w:rsid w:val="00ED242B"/>
    <w:rsid w:val="00ED24BB"/>
    <w:rsid w:val="00ED2651"/>
    <w:rsid w:val="00ED300C"/>
    <w:rsid w:val="00ED30C9"/>
    <w:rsid w:val="00ED4141"/>
    <w:rsid w:val="00ED4F47"/>
    <w:rsid w:val="00ED4F93"/>
    <w:rsid w:val="00ED6420"/>
    <w:rsid w:val="00ED6C9E"/>
    <w:rsid w:val="00EE37CF"/>
    <w:rsid w:val="00EE4D14"/>
    <w:rsid w:val="00EE5DA0"/>
    <w:rsid w:val="00EE65BB"/>
    <w:rsid w:val="00EE7E41"/>
    <w:rsid w:val="00EF3E22"/>
    <w:rsid w:val="00EF5DBE"/>
    <w:rsid w:val="00EF6A6A"/>
    <w:rsid w:val="00EF71A0"/>
    <w:rsid w:val="00EF799F"/>
    <w:rsid w:val="00F005D1"/>
    <w:rsid w:val="00F01D48"/>
    <w:rsid w:val="00F023E2"/>
    <w:rsid w:val="00F034E1"/>
    <w:rsid w:val="00F04E04"/>
    <w:rsid w:val="00F05D5E"/>
    <w:rsid w:val="00F066C5"/>
    <w:rsid w:val="00F06855"/>
    <w:rsid w:val="00F070E2"/>
    <w:rsid w:val="00F0774E"/>
    <w:rsid w:val="00F123B5"/>
    <w:rsid w:val="00F126D7"/>
    <w:rsid w:val="00F13EF5"/>
    <w:rsid w:val="00F13F91"/>
    <w:rsid w:val="00F13FA8"/>
    <w:rsid w:val="00F15F40"/>
    <w:rsid w:val="00F200B4"/>
    <w:rsid w:val="00F2020C"/>
    <w:rsid w:val="00F224CB"/>
    <w:rsid w:val="00F27386"/>
    <w:rsid w:val="00F277FB"/>
    <w:rsid w:val="00F31003"/>
    <w:rsid w:val="00F33E77"/>
    <w:rsid w:val="00F342FE"/>
    <w:rsid w:val="00F349A6"/>
    <w:rsid w:val="00F34A03"/>
    <w:rsid w:val="00F3573F"/>
    <w:rsid w:val="00F3582A"/>
    <w:rsid w:val="00F37451"/>
    <w:rsid w:val="00F40463"/>
    <w:rsid w:val="00F41EA3"/>
    <w:rsid w:val="00F42849"/>
    <w:rsid w:val="00F43333"/>
    <w:rsid w:val="00F433A0"/>
    <w:rsid w:val="00F43911"/>
    <w:rsid w:val="00F44178"/>
    <w:rsid w:val="00F4466E"/>
    <w:rsid w:val="00F508D8"/>
    <w:rsid w:val="00F5225D"/>
    <w:rsid w:val="00F528C7"/>
    <w:rsid w:val="00F55A32"/>
    <w:rsid w:val="00F5649A"/>
    <w:rsid w:val="00F5650D"/>
    <w:rsid w:val="00F6323D"/>
    <w:rsid w:val="00F63C15"/>
    <w:rsid w:val="00F650D7"/>
    <w:rsid w:val="00F65565"/>
    <w:rsid w:val="00F67A46"/>
    <w:rsid w:val="00F707CC"/>
    <w:rsid w:val="00F71339"/>
    <w:rsid w:val="00F71A10"/>
    <w:rsid w:val="00F71F33"/>
    <w:rsid w:val="00F7369C"/>
    <w:rsid w:val="00F74989"/>
    <w:rsid w:val="00F76C68"/>
    <w:rsid w:val="00F77E61"/>
    <w:rsid w:val="00F801BB"/>
    <w:rsid w:val="00F82334"/>
    <w:rsid w:val="00F82342"/>
    <w:rsid w:val="00F83440"/>
    <w:rsid w:val="00F83AC3"/>
    <w:rsid w:val="00F84DDA"/>
    <w:rsid w:val="00F84EA8"/>
    <w:rsid w:val="00F85627"/>
    <w:rsid w:val="00F86402"/>
    <w:rsid w:val="00F865BD"/>
    <w:rsid w:val="00F86C1B"/>
    <w:rsid w:val="00F90729"/>
    <w:rsid w:val="00F91AE4"/>
    <w:rsid w:val="00F92234"/>
    <w:rsid w:val="00F92624"/>
    <w:rsid w:val="00F958CE"/>
    <w:rsid w:val="00F95A16"/>
    <w:rsid w:val="00F9680A"/>
    <w:rsid w:val="00F97476"/>
    <w:rsid w:val="00FA1127"/>
    <w:rsid w:val="00FA11DA"/>
    <w:rsid w:val="00FA1523"/>
    <w:rsid w:val="00FA2875"/>
    <w:rsid w:val="00FA3412"/>
    <w:rsid w:val="00FA3CAE"/>
    <w:rsid w:val="00FA4898"/>
    <w:rsid w:val="00FA49B5"/>
    <w:rsid w:val="00FA4E9F"/>
    <w:rsid w:val="00FA5ABC"/>
    <w:rsid w:val="00FA5D52"/>
    <w:rsid w:val="00FA683C"/>
    <w:rsid w:val="00FB0FB6"/>
    <w:rsid w:val="00FB1231"/>
    <w:rsid w:val="00FB15BC"/>
    <w:rsid w:val="00FB1C9E"/>
    <w:rsid w:val="00FB22C8"/>
    <w:rsid w:val="00FB408B"/>
    <w:rsid w:val="00FB466B"/>
    <w:rsid w:val="00FB5786"/>
    <w:rsid w:val="00FB5C5B"/>
    <w:rsid w:val="00FB6429"/>
    <w:rsid w:val="00FB7541"/>
    <w:rsid w:val="00FB7B2D"/>
    <w:rsid w:val="00FB7C1F"/>
    <w:rsid w:val="00FC090C"/>
    <w:rsid w:val="00FC1E0A"/>
    <w:rsid w:val="00FC23E6"/>
    <w:rsid w:val="00FC2412"/>
    <w:rsid w:val="00FC2811"/>
    <w:rsid w:val="00FC3E85"/>
    <w:rsid w:val="00FC5307"/>
    <w:rsid w:val="00FC627D"/>
    <w:rsid w:val="00FD1466"/>
    <w:rsid w:val="00FD1A9C"/>
    <w:rsid w:val="00FD1D40"/>
    <w:rsid w:val="00FD5EC6"/>
    <w:rsid w:val="00FD633E"/>
    <w:rsid w:val="00FD7191"/>
    <w:rsid w:val="00FE0B00"/>
    <w:rsid w:val="00FE0C58"/>
    <w:rsid w:val="00FE12FF"/>
    <w:rsid w:val="00FE17E2"/>
    <w:rsid w:val="00FE366B"/>
    <w:rsid w:val="00FE3DEE"/>
    <w:rsid w:val="00FE6146"/>
    <w:rsid w:val="00FE7530"/>
    <w:rsid w:val="00FE7726"/>
    <w:rsid w:val="00FE7BD5"/>
    <w:rsid w:val="00FF095F"/>
    <w:rsid w:val="00FF0AF3"/>
    <w:rsid w:val="00FF170C"/>
    <w:rsid w:val="00FF1BE1"/>
    <w:rsid w:val="00FF3668"/>
    <w:rsid w:val="00FF4967"/>
    <w:rsid w:val="00FF509C"/>
    <w:rsid w:val="00FF50F6"/>
    <w:rsid w:val="00FF5DC3"/>
    <w:rsid w:val="00FF61D4"/>
    <w:rsid w:val="00FF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563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22F"/>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qFormat/>
    <w:rsid w:val="00741AEB"/>
    <w:pPr>
      <w:keepNext/>
      <w:outlineLvl w:val="4"/>
    </w:pPr>
    <w:rPr>
      <w:rFonts w:cs="Arial"/>
      <w:sz w:val="28"/>
    </w:rPr>
  </w:style>
  <w:style w:type="paragraph" w:styleId="Heading6">
    <w:name w:val="heading 6"/>
    <w:basedOn w:val="Normal"/>
    <w:next w:val="Normal"/>
    <w:link w:val="Heading6Char"/>
    <w:qFormat/>
    <w:rsid w:val="00741AEB"/>
    <w:pPr>
      <w:keepNext/>
      <w:ind w:left="720" w:hanging="720"/>
      <w:outlineLvl w:val="5"/>
    </w:pPr>
    <w:rPr>
      <w:rFonts w:cs="Arial"/>
      <w:b/>
      <w:bCs/>
      <w:sz w:val="28"/>
      <w:szCs w:val="24"/>
    </w:rPr>
  </w:style>
  <w:style w:type="paragraph" w:styleId="Heading7">
    <w:name w:val="heading 7"/>
    <w:basedOn w:val="Normal"/>
    <w:next w:val="Normal"/>
    <w:link w:val="Heading7Char"/>
    <w:qFormat/>
    <w:rsid w:val="00741AEB"/>
    <w:pPr>
      <w:keepNext/>
      <w:ind w:left="720" w:hanging="720"/>
      <w:jc w:val="both"/>
      <w:outlineLvl w:val="6"/>
    </w:pPr>
    <w:rPr>
      <w:rFonts w:cs="Arial"/>
      <w:i/>
      <w:iCs/>
    </w:rPr>
  </w:style>
  <w:style w:type="paragraph" w:styleId="Heading8">
    <w:name w:val="heading 8"/>
    <w:basedOn w:val="Normal"/>
    <w:next w:val="Normal"/>
    <w:link w:val="Heading8Char"/>
    <w:qFormat/>
    <w:rsid w:val="00741AEB"/>
    <w:pPr>
      <w:keepNext/>
      <w:ind w:left="720" w:hanging="720"/>
      <w:outlineLvl w:val="7"/>
    </w:pPr>
    <w:rPr>
      <w:rFonts w:cs="Arial"/>
      <w:i/>
      <w:iCs/>
    </w:rPr>
  </w:style>
  <w:style w:type="paragraph" w:styleId="Heading9">
    <w:name w:val="heading 9"/>
    <w:basedOn w:val="Normal"/>
    <w:next w:val="Normal"/>
    <w:link w:val="Heading9Char"/>
    <w:qFormat/>
    <w:rsid w:val="00741AEB"/>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5Char">
    <w:name w:val="Heading 5 Char"/>
    <w:basedOn w:val="DefaultParagraphFont"/>
    <w:link w:val="Heading5"/>
    <w:rsid w:val="00741AEB"/>
    <w:rPr>
      <w:rFonts w:ascii="Arial" w:hAnsi="Arial" w:cs="Arial"/>
      <w:sz w:val="28"/>
      <w:lang w:eastAsia="en-US"/>
    </w:rPr>
  </w:style>
  <w:style w:type="character" w:customStyle="1" w:styleId="Heading6Char">
    <w:name w:val="Heading 6 Char"/>
    <w:basedOn w:val="DefaultParagraphFont"/>
    <w:link w:val="Heading6"/>
    <w:rsid w:val="00741AEB"/>
    <w:rPr>
      <w:rFonts w:ascii="Arial" w:hAnsi="Arial" w:cs="Arial"/>
      <w:b/>
      <w:bCs/>
      <w:sz w:val="28"/>
      <w:szCs w:val="24"/>
      <w:lang w:eastAsia="en-US"/>
    </w:rPr>
  </w:style>
  <w:style w:type="character" w:customStyle="1" w:styleId="Heading7Char">
    <w:name w:val="Heading 7 Char"/>
    <w:basedOn w:val="DefaultParagraphFont"/>
    <w:link w:val="Heading7"/>
    <w:rsid w:val="00741AEB"/>
    <w:rPr>
      <w:rFonts w:ascii="Arial" w:hAnsi="Arial" w:cs="Arial"/>
      <w:i/>
      <w:iCs/>
      <w:sz w:val="24"/>
      <w:lang w:eastAsia="en-US"/>
    </w:rPr>
  </w:style>
  <w:style w:type="character" w:customStyle="1" w:styleId="Heading8Char">
    <w:name w:val="Heading 8 Char"/>
    <w:basedOn w:val="DefaultParagraphFont"/>
    <w:link w:val="Heading8"/>
    <w:rsid w:val="00741AEB"/>
    <w:rPr>
      <w:rFonts w:ascii="Arial" w:hAnsi="Arial" w:cs="Arial"/>
      <w:i/>
      <w:iCs/>
      <w:sz w:val="24"/>
      <w:lang w:eastAsia="en-US"/>
    </w:rPr>
  </w:style>
  <w:style w:type="character" w:customStyle="1" w:styleId="Heading9Char">
    <w:name w:val="Heading 9 Char"/>
    <w:basedOn w:val="DefaultParagraphFont"/>
    <w:link w:val="Heading9"/>
    <w:rsid w:val="00741AEB"/>
    <w:rPr>
      <w:rFonts w:ascii="Arial" w:hAnsi="Arial" w:cs="Arial"/>
      <w:sz w:val="24"/>
      <w:lang w:eastAsia="en-US"/>
    </w:rPr>
  </w:style>
  <w:style w:type="character" w:customStyle="1" w:styleId="FooterChar">
    <w:name w:val="Footer Char"/>
    <w:link w:val="Footer"/>
    <w:uiPriority w:val="99"/>
    <w:rsid w:val="00741AEB"/>
    <w:rPr>
      <w:rFonts w:ascii="Arial" w:hAnsi="Arial"/>
      <w:sz w:val="24"/>
      <w:szCs w:val="24"/>
      <w:lang w:val="en-US" w:eastAsia="en-US"/>
    </w:rPr>
  </w:style>
  <w:style w:type="paragraph" w:styleId="DocumentMap">
    <w:name w:val="Document Map"/>
    <w:basedOn w:val="Normal"/>
    <w:link w:val="DocumentMapChar"/>
    <w:rsid w:val="00741AEB"/>
    <w:pPr>
      <w:shd w:val="clear" w:color="auto" w:fill="000080"/>
    </w:pPr>
    <w:rPr>
      <w:rFonts w:ascii="Tahoma" w:hAnsi="Tahoma" w:cs="Tahoma"/>
    </w:rPr>
  </w:style>
  <w:style w:type="character" w:customStyle="1" w:styleId="DocumentMapChar">
    <w:name w:val="Document Map Char"/>
    <w:basedOn w:val="DefaultParagraphFont"/>
    <w:link w:val="DocumentMap"/>
    <w:rsid w:val="00741AEB"/>
    <w:rPr>
      <w:rFonts w:ascii="Tahoma" w:hAnsi="Tahoma" w:cs="Tahoma"/>
      <w:sz w:val="24"/>
      <w:shd w:val="clear" w:color="auto" w:fill="000080"/>
      <w:lang w:eastAsia="en-US"/>
    </w:rPr>
  </w:style>
  <w:style w:type="character" w:customStyle="1" w:styleId="Heading3Char">
    <w:name w:val="Heading 3 Char"/>
    <w:rsid w:val="00741AEB"/>
    <w:rPr>
      <w:rFonts w:ascii="Arial" w:hAnsi="Arial" w:cs="Arial"/>
      <w:b/>
      <w:bCs/>
      <w:i/>
      <w:sz w:val="24"/>
      <w:szCs w:val="28"/>
      <w:lang w:val="en-GB" w:eastAsia="en-US" w:bidi="ar-SA"/>
    </w:rPr>
  </w:style>
  <w:style w:type="paragraph" w:customStyle="1" w:styleId="Style12ptJustified">
    <w:name w:val="Style 12 pt Justified"/>
    <w:basedOn w:val="Normal"/>
    <w:rsid w:val="00741AEB"/>
  </w:style>
  <w:style w:type="paragraph" w:customStyle="1" w:styleId="Style12ptLinespacing15lines">
    <w:name w:val="Style 12 pt Line spacing:  1.5 lines"/>
    <w:basedOn w:val="Normal"/>
    <w:rsid w:val="00741AEB"/>
  </w:style>
  <w:style w:type="paragraph" w:customStyle="1" w:styleId="Style12ptJustified1">
    <w:name w:val="Style 12 pt Justified1"/>
    <w:basedOn w:val="Normal"/>
    <w:rsid w:val="00741AEB"/>
  </w:style>
  <w:style w:type="paragraph" w:customStyle="1" w:styleId="Style12ptJustified2">
    <w:name w:val="Style 12 pt Justified2"/>
    <w:basedOn w:val="Normal"/>
    <w:rsid w:val="00741AEB"/>
  </w:style>
  <w:style w:type="paragraph" w:customStyle="1" w:styleId="Style12ptJustified3">
    <w:name w:val="Style 12 pt Justified3"/>
    <w:basedOn w:val="Normal"/>
    <w:rsid w:val="00741AEB"/>
  </w:style>
  <w:style w:type="paragraph" w:styleId="BalloonText">
    <w:name w:val="Balloon Text"/>
    <w:basedOn w:val="Normal"/>
    <w:link w:val="BalloonTextChar"/>
    <w:rsid w:val="00741AEB"/>
    <w:rPr>
      <w:rFonts w:ascii="Tahoma" w:hAnsi="Tahoma" w:cs="Tahoma"/>
      <w:sz w:val="16"/>
      <w:szCs w:val="16"/>
    </w:rPr>
  </w:style>
  <w:style w:type="character" w:customStyle="1" w:styleId="BalloonTextChar">
    <w:name w:val="Balloon Text Char"/>
    <w:basedOn w:val="DefaultParagraphFont"/>
    <w:link w:val="BalloonText"/>
    <w:rsid w:val="00741AEB"/>
    <w:rPr>
      <w:rFonts w:ascii="Tahoma" w:hAnsi="Tahoma" w:cs="Tahoma"/>
      <w:sz w:val="16"/>
      <w:szCs w:val="16"/>
      <w:lang w:eastAsia="en-US"/>
    </w:rPr>
  </w:style>
  <w:style w:type="paragraph" w:customStyle="1" w:styleId="StyleJustified">
    <w:name w:val="Style Justified"/>
    <w:basedOn w:val="Normal"/>
    <w:next w:val="Normal"/>
    <w:rsid w:val="00741AEB"/>
    <w:rPr>
      <w:szCs w:val="24"/>
    </w:rPr>
  </w:style>
  <w:style w:type="character" w:customStyle="1" w:styleId="HeaderChar">
    <w:name w:val="Header Char"/>
    <w:link w:val="Header"/>
    <w:uiPriority w:val="99"/>
    <w:rsid w:val="00741AEB"/>
    <w:rPr>
      <w:rFonts w:ascii="Arial" w:hAnsi="Arial"/>
      <w:sz w:val="24"/>
      <w:lang w:eastAsia="en-US"/>
    </w:rPr>
  </w:style>
  <w:style w:type="paragraph" w:customStyle="1" w:styleId="CharCharCharChar2">
    <w:name w:val="Char Char Char Char2"/>
    <w:basedOn w:val="Normal"/>
    <w:locked/>
    <w:rsid w:val="00741AEB"/>
    <w:pPr>
      <w:spacing w:after="160" w:line="240" w:lineRule="exact"/>
    </w:pPr>
    <w:rPr>
      <w:rFonts w:ascii="Verdana" w:eastAsia="MS ??" w:hAnsi="Verdana" w:cs="Verdana"/>
      <w:sz w:val="20"/>
      <w:lang w:val="en-US"/>
    </w:rPr>
  </w:style>
  <w:style w:type="paragraph" w:styleId="BodyText3">
    <w:name w:val="Body Text 3"/>
    <w:basedOn w:val="Normal"/>
    <w:link w:val="BodyText3Char"/>
    <w:rsid w:val="00741AEB"/>
    <w:pPr>
      <w:spacing w:after="120"/>
    </w:pPr>
    <w:rPr>
      <w:sz w:val="16"/>
      <w:szCs w:val="16"/>
    </w:rPr>
  </w:style>
  <w:style w:type="character" w:customStyle="1" w:styleId="BodyText3Char">
    <w:name w:val="Body Text 3 Char"/>
    <w:basedOn w:val="DefaultParagraphFont"/>
    <w:link w:val="BodyText3"/>
    <w:rsid w:val="00741AEB"/>
    <w:rPr>
      <w:rFonts w:ascii="Arial" w:hAnsi="Arial"/>
      <w:sz w:val="16"/>
      <w:szCs w:val="16"/>
      <w:lang w:eastAsia="en-US"/>
    </w:rPr>
  </w:style>
  <w:style w:type="paragraph" w:customStyle="1" w:styleId="CharCharCharCharCharCharCharChar1">
    <w:name w:val="Char Char Char Char Char Char Char Char1"/>
    <w:basedOn w:val="Normal"/>
    <w:rsid w:val="00741AEB"/>
    <w:pPr>
      <w:spacing w:after="160" w:line="240" w:lineRule="exact"/>
    </w:pPr>
    <w:rPr>
      <w:rFonts w:cs="Arial"/>
    </w:rPr>
  </w:style>
  <w:style w:type="character" w:styleId="FollowedHyperlink">
    <w:name w:val="FollowedHyperlink"/>
    <w:uiPriority w:val="99"/>
    <w:unhideWhenUsed/>
    <w:rsid w:val="00741AEB"/>
    <w:rPr>
      <w:color w:val="800080"/>
      <w:u w:val="single"/>
    </w:rPr>
  </w:style>
  <w:style w:type="paragraph" w:styleId="ListParagraph">
    <w:name w:val="List Paragraph"/>
    <w:basedOn w:val="Normal"/>
    <w:uiPriority w:val="99"/>
    <w:qFormat/>
    <w:rsid w:val="00741AEB"/>
    <w:pPr>
      <w:ind w:left="720"/>
    </w:pPr>
  </w:style>
  <w:style w:type="paragraph" w:customStyle="1" w:styleId="CharCharCharChar5">
    <w:name w:val="Char Char Char Char5"/>
    <w:basedOn w:val="Normal"/>
    <w:locked/>
    <w:rsid w:val="00741AEB"/>
    <w:pPr>
      <w:spacing w:after="160" w:line="240" w:lineRule="exact"/>
    </w:pPr>
    <w:rPr>
      <w:rFonts w:ascii="Verdana" w:hAnsi="Verdana"/>
      <w:sz w:val="20"/>
      <w:lang w:val="en-US"/>
    </w:rPr>
  </w:style>
  <w:style w:type="character" w:styleId="CommentReference">
    <w:name w:val="annotation reference"/>
    <w:rsid w:val="00741AEB"/>
    <w:rPr>
      <w:sz w:val="16"/>
      <w:szCs w:val="16"/>
    </w:rPr>
  </w:style>
  <w:style w:type="paragraph" w:styleId="CommentText">
    <w:name w:val="annotation text"/>
    <w:basedOn w:val="Normal"/>
    <w:link w:val="CommentTextChar"/>
    <w:rsid w:val="00741AEB"/>
    <w:rPr>
      <w:sz w:val="20"/>
    </w:rPr>
  </w:style>
  <w:style w:type="character" w:customStyle="1" w:styleId="CommentTextChar">
    <w:name w:val="Comment Text Char"/>
    <w:basedOn w:val="DefaultParagraphFont"/>
    <w:link w:val="CommentText"/>
    <w:rsid w:val="00741AEB"/>
    <w:rPr>
      <w:rFonts w:ascii="Arial" w:hAnsi="Arial"/>
      <w:lang w:eastAsia="en-US"/>
    </w:rPr>
  </w:style>
  <w:style w:type="paragraph" w:styleId="CommentSubject">
    <w:name w:val="annotation subject"/>
    <w:basedOn w:val="CommentText"/>
    <w:next w:val="CommentText"/>
    <w:link w:val="CommentSubjectChar"/>
    <w:rsid w:val="00741AEB"/>
    <w:rPr>
      <w:b/>
      <w:bCs/>
    </w:rPr>
  </w:style>
  <w:style w:type="character" w:customStyle="1" w:styleId="CommentSubjectChar">
    <w:name w:val="Comment Subject Char"/>
    <w:basedOn w:val="CommentTextChar"/>
    <w:link w:val="CommentSubject"/>
    <w:rsid w:val="00741AEB"/>
    <w:rPr>
      <w:rFonts w:ascii="Arial" w:hAnsi="Arial"/>
      <w:b/>
      <w:bCs/>
      <w:lang w:eastAsia="en-US"/>
    </w:rPr>
  </w:style>
  <w:style w:type="paragraph" w:customStyle="1" w:styleId="xl65">
    <w:name w:val="xl6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66">
    <w:name w:val="xl6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eastAsia="en-GB"/>
    </w:rPr>
  </w:style>
  <w:style w:type="paragraph" w:customStyle="1" w:styleId="xl67">
    <w:name w:val="xl67"/>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pPr>
    <w:rPr>
      <w:rFonts w:ascii="Times New Roman" w:hAnsi="Times New Roman"/>
      <w:b/>
      <w:bCs/>
      <w:sz w:val="20"/>
      <w:lang w:eastAsia="en-GB"/>
    </w:rPr>
  </w:style>
  <w:style w:type="paragraph" w:customStyle="1" w:styleId="xl68">
    <w:name w:val="xl68"/>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right"/>
    </w:pPr>
    <w:rPr>
      <w:rFonts w:ascii="Times New Roman" w:hAnsi="Times New Roman"/>
      <w:b/>
      <w:bCs/>
      <w:sz w:val="20"/>
      <w:lang w:eastAsia="en-GB"/>
    </w:rPr>
  </w:style>
  <w:style w:type="paragraph" w:customStyle="1" w:styleId="xl69">
    <w:name w:val="xl69"/>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b/>
      <w:bCs/>
      <w:sz w:val="20"/>
      <w:lang w:eastAsia="en-GB"/>
    </w:rPr>
  </w:style>
  <w:style w:type="paragraph" w:customStyle="1" w:styleId="xl70">
    <w:name w:val="xl7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szCs w:val="24"/>
      <w:lang w:eastAsia="en-GB"/>
    </w:rPr>
  </w:style>
  <w:style w:type="paragraph" w:customStyle="1" w:styleId="xl71">
    <w:name w:val="xl71"/>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sz w:val="20"/>
      <w:lang w:eastAsia="en-GB"/>
    </w:rPr>
  </w:style>
  <w:style w:type="paragraph" w:customStyle="1" w:styleId="xl72">
    <w:name w:val="xl7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3">
    <w:name w:val="xl7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74">
    <w:name w:val="xl7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5">
    <w:name w:val="xl7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6">
    <w:name w:val="xl7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7">
    <w:name w:val="xl77"/>
    <w:basedOn w:val="Normal"/>
    <w:rsid w:val="00741AE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Times New Roman" w:hAnsi="Times New Roman"/>
      <w:sz w:val="20"/>
      <w:lang w:eastAsia="en-GB"/>
    </w:rPr>
  </w:style>
  <w:style w:type="paragraph" w:customStyle="1" w:styleId="xl78">
    <w:name w:val="xl78"/>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79">
    <w:name w:val="xl79"/>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80">
    <w:name w:val="xl80"/>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1">
    <w:name w:val="xl81"/>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lang w:eastAsia="en-GB"/>
    </w:rPr>
  </w:style>
  <w:style w:type="paragraph" w:customStyle="1" w:styleId="xl82">
    <w:name w:val="xl8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83">
    <w:name w:val="xl83"/>
    <w:basedOn w:val="Normal"/>
    <w:rsid w:val="00741AEB"/>
    <w:pPr>
      <w:spacing w:before="100" w:beforeAutospacing="1" w:after="100" w:afterAutospacing="1"/>
    </w:pPr>
    <w:rPr>
      <w:rFonts w:ascii="Times New Roman" w:hAnsi="Times New Roman"/>
      <w:szCs w:val="24"/>
      <w:lang w:eastAsia="en-GB"/>
    </w:rPr>
  </w:style>
  <w:style w:type="paragraph" w:customStyle="1" w:styleId="xl84">
    <w:name w:val="xl8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5">
    <w:name w:val="xl8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6">
    <w:name w:val="xl8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87">
    <w:name w:val="xl87"/>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8">
    <w:name w:val="xl88"/>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89">
    <w:name w:val="xl89"/>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90">
    <w:name w:val="xl90"/>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0"/>
      <w:lang w:eastAsia="en-GB"/>
    </w:rPr>
  </w:style>
  <w:style w:type="paragraph" w:customStyle="1" w:styleId="xl91">
    <w:name w:val="xl91"/>
    <w:basedOn w:val="Normal"/>
    <w:rsid w:val="00741AEB"/>
    <w:pPr>
      <w:spacing w:before="100" w:beforeAutospacing="1" w:after="100" w:afterAutospacing="1"/>
    </w:pPr>
    <w:rPr>
      <w:rFonts w:ascii="Times New Roman" w:hAnsi="Times New Roman"/>
      <w:b/>
      <w:bCs/>
      <w:szCs w:val="24"/>
      <w:lang w:eastAsia="en-GB"/>
    </w:rPr>
  </w:style>
  <w:style w:type="paragraph" w:customStyle="1" w:styleId="xl92">
    <w:name w:val="xl92"/>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Times New Roman" w:hAnsi="Times New Roman"/>
      <w:sz w:val="20"/>
      <w:lang w:eastAsia="en-GB"/>
    </w:rPr>
  </w:style>
  <w:style w:type="paragraph" w:customStyle="1" w:styleId="xl93">
    <w:name w:val="xl93"/>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Times New Roman" w:hAnsi="Times New Roman"/>
      <w:sz w:val="20"/>
      <w:lang w:eastAsia="en-GB"/>
    </w:rPr>
  </w:style>
  <w:style w:type="paragraph" w:customStyle="1" w:styleId="xl94">
    <w:name w:val="xl94"/>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sz w:val="20"/>
      <w:lang w:eastAsia="en-GB"/>
    </w:rPr>
  </w:style>
  <w:style w:type="paragraph" w:customStyle="1" w:styleId="xl95">
    <w:name w:val="xl95"/>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Times New Roman" w:hAnsi="Times New Roman"/>
      <w:szCs w:val="24"/>
      <w:lang w:eastAsia="en-GB"/>
    </w:rPr>
  </w:style>
  <w:style w:type="paragraph" w:customStyle="1" w:styleId="xl96">
    <w:name w:val="xl96"/>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hAnsi="Times New Roman"/>
      <w:szCs w:val="24"/>
      <w:lang w:eastAsia="en-GB"/>
    </w:rPr>
  </w:style>
  <w:style w:type="paragraph" w:customStyle="1" w:styleId="xl97">
    <w:name w:val="xl97"/>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hAnsi="Times New Roman"/>
      <w:szCs w:val="24"/>
      <w:lang w:eastAsia="en-GB"/>
    </w:rPr>
  </w:style>
  <w:style w:type="paragraph" w:customStyle="1" w:styleId="xl98">
    <w:name w:val="xl98"/>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lang w:eastAsia="en-GB"/>
    </w:rPr>
  </w:style>
  <w:style w:type="paragraph" w:customStyle="1" w:styleId="xl99">
    <w:name w:val="xl99"/>
    <w:basedOn w:val="Normal"/>
    <w:rsid w:val="00741AE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rPr>
      <w:rFonts w:ascii="Times New Roman" w:hAnsi="Times New Roman"/>
      <w:sz w:val="20"/>
      <w:lang w:eastAsia="en-GB"/>
    </w:rPr>
  </w:style>
  <w:style w:type="paragraph" w:customStyle="1" w:styleId="xl100">
    <w:name w:val="xl10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b/>
      <w:bCs/>
      <w:sz w:val="20"/>
      <w:lang w:eastAsia="en-GB"/>
    </w:rPr>
  </w:style>
  <w:style w:type="paragraph" w:customStyle="1" w:styleId="xl101">
    <w:name w:val="xl101"/>
    <w:basedOn w:val="Normal"/>
    <w:rsid w:val="00741AEB"/>
    <w:pPr>
      <w:spacing w:before="100" w:beforeAutospacing="1" w:after="100" w:afterAutospacing="1"/>
    </w:pPr>
    <w:rPr>
      <w:rFonts w:ascii="Times New Roman" w:hAnsi="Times New Roman"/>
      <w:sz w:val="20"/>
      <w:lang w:eastAsia="en-GB"/>
    </w:rPr>
  </w:style>
  <w:style w:type="paragraph" w:customStyle="1" w:styleId="xl102">
    <w:name w:val="xl10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103">
    <w:name w:val="xl10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eastAsia="en-GB"/>
    </w:rPr>
  </w:style>
  <w:style w:type="paragraph" w:customStyle="1" w:styleId="xl104">
    <w:name w:val="xl104"/>
    <w:basedOn w:val="Normal"/>
    <w:rsid w:val="00741AE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105">
    <w:name w:val="xl105"/>
    <w:basedOn w:val="Normal"/>
    <w:rsid w:val="00741AE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CharCharCharChar4">
    <w:name w:val="Char Char Char Char4"/>
    <w:basedOn w:val="Normal"/>
    <w:locked/>
    <w:rsid w:val="00DC5AEC"/>
    <w:pPr>
      <w:spacing w:after="160" w:line="240" w:lineRule="exact"/>
    </w:pPr>
    <w:rPr>
      <w:rFonts w:ascii="Verdana" w:hAnsi="Verdana"/>
      <w:sz w:val="20"/>
      <w:lang w:val="en-US"/>
    </w:rPr>
  </w:style>
  <w:style w:type="paragraph" w:styleId="Revision">
    <w:name w:val="Revision"/>
    <w:hidden/>
    <w:uiPriority w:val="99"/>
    <w:semiHidden/>
    <w:rsid w:val="00F71F33"/>
    <w:rPr>
      <w:rFonts w:ascii="Arial" w:hAnsi="Arial"/>
      <w:sz w:val="24"/>
      <w:lang w:eastAsia="en-US"/>
    </w:rPr>
  </w:style>
  <w:style w:type="paragraph" w:customStyle="1" w:styleId="Default">
    <w:name w:val="Default"/>
    <w:rsid w:val="0062479E"/>
    <w:pPr>
      <w:autoSpaceDE w:val="0"/>
      <w:autoSpaceDN w:val="0"/>
      <w:adjustRightInd w:val="0"/>
    </w:pPr>
    <w:rPr>
      <w:rFonts w:ascii="Arial" w:eastAsia="Calibri" w:hAnsi="Arial" w:cs="Arial"/>
      <w:color w:val="000000"/>
      <w:sz w:val="24"/>
      <w:szCs w:val="24"/>
    </w:rPr>
  </w:style>
  <w:style w:type="paragraph" w:customStyle="1" w:styleId="CharCharCharChar3">
    <w:name w:val="Char Char Char Char3"/>
    <w:basedOn w:val="Normal"/>
    <w:locked/>
    <w:rsid w:val="00E121EB"/>
    <w:pPr>
      <w:spacing w:after="160" w:line="240" w:lineRule="exact"/>
    </w:pPr>
    <w:rPr>
      <w:rFonts w:ascii="Verdana" w:hAnsi="Verdana"/>
      <w:sz w:val="20"/>
      <w:lang w:val="en-US"/>
    </w:rPr>
  </w:style>
  <w:style w:type="paragraph" w:customStyle="1" w:styleId="CharCharCharChar1">
    <w:name w:val="Char Char Char Char1"/>
    <w:basedOn w:val="Normal"/>
    <w:locked/>
    <w:rsid w:val="00E662CB"/>
    <w:pPr>
      <w:spacing w:after="160" w:line="240" w:lineRule="exact"/>
    </w:pPr>
    <w:rPr>
      <w:rFonts w:ascii="Verdana" w:hAnsi="Verdana"/>
      <w:sz w:val="20"/>
      <w:lang w:val="en-US"/>
    </w:rPr>
  </w:style>
  <w:style w:type="character" w:styleId="LineNumber">
    <w:name w:val="line number"/>
    <w:basedOn w:val="DefaultParagraphFont"/>
    <w:rsid w:val="00D73C5B"/>
  </w:style>
  <w:style w:type="paragraph" w:customStyle="1" w:styleId="CharCharCharChar6">
    <w:name w:val="Char Char Char Char6"/>
    <w:basedOn w:val="Normal"/>
    <w:locked/>
    <w:rsid w:val="005A04AE"/>
    <w:pPr>
      <w:spacing w:after="160" w:line="240" w:lineRule="exact"/>
    </w:pPr>
    <w:rPr>
      <w:rFonts w:ascii="Verdana" w:hAnsi="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22F"/>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qFormat/>
    <w:rsid w:val="00741AEB"/>
    <w:pPr>
      <w:keepNext/>
      <w:outlineLvl w:val="4"/>
    </w:pPr>
    <w:rPr>
      <w:rFonts w:cs="Arial"/>
      <w:sz w:val="28"/>
    </w:rPr>
  </w:style>
  <w:style w:type="paragraph" w:styleId="Heading6">
    <w:name w:val="heading 6"/>
    <w:basedOn w:val="Normal"/>
    <w:next w:val="Normal"/>
    <w:link w:val="Heading6Char"/>
    <w:qFormat/>
    <w:rsid w:val="00741AEB"/>
    <w:pPr>
      <w:keepNext/>
      <w:ind w:left="720" w:hanging="720"/>
      <w:outlineLvl w:val="5"/>
    </w:pPr>
    <w:rPr>
      <w:rFonts w:cs="Arial"/>
      <w:b/>
      <w:bCs/>
      <w:sz w:val="28"/>
      <w:szCs w:val="24"/>
    </w:rPr>
  </w:style>
  <w:style w:type="paragraph" w:styleId="Heading7">
    <w:name w:val="heading 7"/>
    <w:basedOn w:val="Normal"/>
    <w:next w:val="Normal"/>
    <w:link w:val="Heading7Char"/>
    <w:qFormat/>
    <w:rsid w:val="00741AEB"/>
    <w:pPr>
      <w:keepNext/>
      <w:ind w:left="720" w:hanging="720"/>
      <w:jc w:val="both"/>
      <w:outlineLvl w:val="6"/>
    </w:pPr>
    <w:rPr>
      <w:rFonts w:cs="Arial"/>
      <w:i/>
      <w:iCs/>
    </w:rPr>
  </w:style>
  <w:style w:type="paragraph" w:styleId="Heading8">
    <w:name w:val="heading 8"/>
    <w:basedOn w:val="Normal"/>
    <w:next w:val="Normal"/>
    <w:link w:val="Heading8Char"/>
    <w:qFormat/>
    <w:rsid w:val="00741AEB"/>
    <w:pPr>
      <w:keepNext/>
      <w:ind w:left="720" w:hanging="720"/>
      <w:outlineLvl w:val="7"/>
    </w:pPr>
    <w:rPr>
      <w:rFonts w:cs="Arial"/>
      <w:i/>
      <w:iCs/>
    </w:rPr>
  </w:style>
  <w:style w:type="paragraph" w:styleId="Heading9">
    <w:name w:val="heading 9"/>
    <w:basedOn w:val="Normal"/>
    <w:next w:val="Normal"/>
    <w:link w:val="Heading9Char"/>
    <w:qFormat/>
    <w:rsid w:val="00741AEB"/>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5Char">
    <w:name w:val="Heading 5 Char"/>
    <w:basedOn w:val="DefaultParagraphFont"/>
    <w:link w:val="Heading5"/>
    <w:rsid w:val="00741AEB"/>
    <w:rPr>
      <w:rFonts w:ascii="Arial" w:hAnsi="Arial" w:cs="Arial"/>
      <w:sz w:val="28"/>
      <w:lang w:eastAsia="en-US"/>
    </w:rPr>
  </w:style>
  <w:style w:type="character" w:customStyle="1" w:styleId="Heading6Char">
    <w:name w:val="Heading 6 Char"/>
    <w:basedOn w:val="DefaultParagraphFont"/>
    <w:link w:val="Heading6"/>
    <w:rsid w:val="00741AEB"/>
    <w:rPr>
      <w:rFonts w:ascii="Arial" w:hAnsi="Arial" w:cs="Arial"/>
      <w:b/>
      <w:bCs/>
      <w:sz w:val="28"/>
      <w:szCs w:val="24"/>
      <w:lang w:eastAsia="en-US"/>
    </w:rPr>
  </w:style>
  <w:style w:type="character" w:customStyle="1" w:styleId="Heading7Char">
    <w:name w:val="Heading 7 Char"/>
    <w:basedOn w:val="DefaultParagraphFont"/>
    <w:link w:val="Heading7"/>
    <w:rsid w:val="00741AEB"/>
    <w:rPr>
      <w:rFonts w:ascii="Arial" w:hAnsi="Arial" w:cs="Arial"/>
      <w:i/>
      <w:iCs/>
      <w:sz w:val="24"/>
      <w:lang w:eastAsia="en-US"/>
    </w:rPr>
  </w:style>
  <w:style w:type="character" w:customStyle="1" w:styleId="Heading8Char">
    <w:name w:val="Heading 8 Char"/>
    <w:basedOn w:val="DefaultParagraphFont"/>
    <w:link w:val="Heading8"/>
    <w:rsid w:val="00741AEB"/>
    <w:rPr>
      <w:rFonts w:ascii="Arial" w:hAnsi="Arial" w:cs="Arial"/>
      <w:i/>
      <w:iCs/>
      <w:sz w:val="24"/>
      <w:lang w:eastAsia="en-US"/>
    </w:rPr>
  </w:style>
  <w:style w:type="character" w:customStyle="1" w:styleId="Heading9Char">
    <w:name w:val="Heading 9 Char"/>
    <w:basedOn w:val="DefaultParagraphFont"/>
    <w:link w:val="Heading9"/>
    <w:rsid w:val="00741AEB"/>
    <w:rPr>
      <w:rFonts w:ascii="Arial" w:hAnsi="Arial" w:cs="Arial"/>
      <w:sz w:val="24"/>
      <w:lang w:eastAsia="en-US"/>
    </w:rPr>
  </w:style>
  <w:style w:type="character" w:customStyle="1" w:styleId="FooterChar">
    <w:name w:val="Footer Char"/>
    <w:link w:val="Footer"/>
    <w:uiPriority w:val="99"/>
    <w:rsid w:val="00741AEB"/>
    <w:rPr>
      <w:rFonts w:ascii="Arial" w:hAnsi="Arial"/>
      <w:sz w:val="24"/>
      <w:szCs w:val="24"/>
      <w:lang w:val="en-US" w:eastAsia="en-US"/>
    </w:rPr>
  </w:style>
  <w:style w:type="paragraph" w:styleId="DocumentMap">
    <w:name w:val="Document Map"/>
    <w:basedOn w:val="Normal"/>
    <w:link w:val="DocumentMapChar"/>
    <w:rsid w:val="00741AEB"/>
    <w:pPr>
      <w:shd w:val="clear" w:color="auto" w:fill="000080"/>
    </w:pPr>
    <w:rPr>
      <w:rFonts w:ascii="Tahoma" w:hAnsi="Tahoma" w:cs="Tahoma"/>
    </w:rPr>
  </w:style>
  <w:style w:type="character" w:customStyle="1" w:styleId="DocumentMapChar">
    <w:name w:val="Document Map Char"/>
    <w:basedOn w:val="DefaultParagraphFont"/>
    <w:link w:val="DocumentMap"/>
    <w:rsid w:val="00741AEB"/>
    <w:rPr>
      <w:rFonts w:ascii="Tahoma" w:hAnsi="Tahoma" w:cs="Tahoma"/>
      <w:sz w:val="24"/>
      <w:shd w:val="clear" w:color="auto" w:fill="000080"/>
      <w:lang w:eastAsia="en-US"/>
    </w:rPr>
  </w:style>
  <w:style w:type="character" w:customStyle="1" w:styleId="Heading3Char">
    <w:name w:val="Heading 3 Char"/>
    <w:rsid w:val="00741AEB"/>
    <w:rPr>
      <w:rFonts w:ascii="Arial" w:hAnsi="Arial" w:cs="Arial"/>
      <w:b/>
      <w:bCs/>
      <w:i/>
      <w:sz w:val="24"/>
      <w:szCs w:val="28"/>
      <w:lang w:val="en-GB" w:eastAsia="en-US" w:bidi="ar-SA"/>
    </w:rPr>
  </w:style>
  <w:style w:type="paragraph" w:customStyle="1" w:styleId="Style12ptJustified">
    <w:name w:val="Style 12 pt Justified"/>
    <w:basedOn w:val="Normal"/>
    <w:rsid w:val="00741AEB"/>
  </w:style>
  <w:style w:type="paragraph" w:customStyle="1" w:styleId="Style12ptLinespacing15lines">
    <w:name w:val="Style 12 pt Line spacing:  1.5 lines"/>
    <w:basedOn w:val="Normal"/>
    <w:rsid w:val="00741AEB"/>
  </w:style>
  <w:style w:type="paragraph" w:customStyle="1" w:styleId="Style12ptJustified1">
    <w:name w:val="Style 12 pt Justified1"/>
    <w:basedOn w:val="Normal"/>
    <w:rsid w:val="00741AEB"/>
  </w:style>
  <w:style w:type="paragraph" w:customStyle="1" w:styleId="Style12ptJustified2">
    <w:name w:val="Style 12 pt Justified2"/>
    <w:basedOn w:val="Normal"/>
    <w:rsid w:val="00741AEB"/>
  </w:style>
  <w:style w:type="paragraph" w:customStyle="1" w:styleId="Style12ptJustified3">
    <w:name w:val="Style 12 pt Justified3"/>
    <w:basedOn w:val="Normal"/>
    <w:rsid w:val="00741AEB"/>
  </w:style>
  <w:style w:type="paragraph" w:styleId="BalloonText">
    <w:name w:val="Balloon Text"/>
    <w:basedOn w:val="Normal"/>
    <w:link w:val="BalloonTextChar"/>
    <w:rsid w:val="00741AEB"/>
    <w:rPr>
      <w:rFonts w:ascii="Tahoma" w:hAnsi="Tahoma" w:cs="Tahoma"/>
      <w:sz w:val="16"/>
      <w:szCs w:val="16"/>
    </w:rPr>
  </w:style>
  <w:style w:type="character" w:customStyle="1" w:styleId="BalloonTextChar">
    <w:name w:val="Balloon Text Char"/>
    <w:basedOn w:val="DefaultParagraphFont"/>
    <w:link w:val="BalloonText"/>
    <w:rsid w:val="00741AEB"/>
    <w:rPr>
      <w:rFonts w:ascii="Tahoma" w:hAnsi="Tahoma" w:cs="Tahoma"/>
      <w:sz w:val="16"/>
      <w:szCs w:val="16"/>
      <w:lang w:eastAsia="en-US"/>
    </w:rPr>
  </w:style>
  <w:style w:type="paragraph" w:customStyle="1" w:styleId="StyleJustified">
    <w:name w:val="Style Justified"/>
    <w:basedOn w:val="Normal"/>
    <w:next w:val="Normal"/>
    <w:rsid w:val="00741AEB"/>
    <w:rPr>
      <w:szCs w:val="24"/>
    </w:rPr>
  </w:style>
  <w:style w:type="character" w:customStyle="1" w:styleId="HeaderChar">
    <w:name w:val="Header Char"/>
    <w:link w:val="Header"/>
    <w:uiPriority w:val="99"/>
    <w:rsid w:val="00741AEB"/>
    <w:rPr>
      <w:rFonts w:ascii="Arial" w:hAnsi="Arial"/>
      <w:sz w:val="24"/>
      <w:lang w:eastAsia="en-US"/>
    </w:rPr>
  </w:style>
  <w:style w:type="paragraph" w:customStyle="1" w:styleId="CharCharCharChar2">
    <w:name w:val="Char Char Char Char2"/>
    <w:basedOn w:val="Normal"/>
    <w:locked/>
    <w:rsid w:val="00741AEB"/>
    <w:pPr>
      <w:spacing w:after="160" w:line="240" w:lineRule="exact"/>
    </w:pPr>
    <w:rPr>
      <w:rFonts w:ascii="Verdana" w:eastAsia="MS ??" w:hAnsi="Verdana" w:cs="Verdana"/>
      <w:sz w:val="20"/>
      <w:lang w:val="en-US"/>
    </w:rPr>
  </w:style>
  <w:style w:type="paragraph" w:styleId="BodyText3">
    <w:name w:val="Body Text 3"/>
    <w:basedOn w:val="Normal"/>
    <w:link w:val="BodyText3Char"/>
    <w:rsid w:val="00741AEB"/>
    <w:pPr>
      <w:spacing w:after="120"/>
    </w:pPr>
    <w:rPr>
      <w:sz w:val="16"/>
      <w:szCs w:val="16"/>
    </w:rPr>
  </w:style>
  <w:style w:type="character" w:customStyle="1" w:styleId="BodyText3Char">
    <w:name w:val="Body Text 3 Char"/>
    <w:basedOn w:val="DefaultParagraphFont"/>
    <w:link w:val="BodyText3"/>
    <w:rsid w:val="00741AEB"/>
    <w:rPr>
      <w:rFonts w:ascii="Arial" w:hAnsi="Arial"/>
      <w:sz w:val="16"/>
      <w:szCs w:val="16"/>
      <w:lang w:eastAsia="en-US"/>
    </w:rPr>
  </w:style>
  <w:style w:type="paragraph" w:customStyle="1" w:styleId="CharCharCharCharCharCharCharChar1">
    <w:name w:val="Char Char Char Char Char Char Char Char1"/>
    <w:basedOn w:val="Normal"/>
    <w:rsid w:val="00741AEB"/>
    <w:pPr>
      <w:spacing w:after="160" w:line="240" w:lineRule="exact"/>
    </w:pPr>
    <w:rPr>
      <w:rFonts w:cs="Arial"/>
    </w:rPr>
  </w:style>
  <w:style w:type="character" w:styleId="FollowedHyperlink">
    <w:name w:val="FollowedHyperlink"/>
    <w:uiPriority w:val="99"/>
    <w:unhideWhenUsed/>
    <w:rsid w:val="00741AEB"/>
    <w:rPr>
      <w:color w:val="800080"/>
      <w:u w:val="single"/>
    </w:rPr>
  </w:style>
  <w:style w:type="paragraph" w:styleId="ListParagraph">
    <w:name w:val="List Paragraph"/>
    <w:basedOn w:val="Normal"/>
    <w:uiPriority w:val="99"/>
    <w:qFormat/>
    <w:rsid w:val="00741AEB"/>
    <w:pPr>
      <w:ind w:left="720"/>
    </w:pPr>
  </w:style>
  <w:style w:type="paragraph" w:customStyle="1" w:styleId="CharCharCharChar5">
    <w:name w:val="Char Char Char Char5"/>
    <w:basedOn w:val="Normal"/>
    <w:locked/>
    <w:rsid w:val="00741AEB"/>
    <w:pPr>
      <w:spacing w:after="160" w:line="240" w:lineRule="exact"/>
    </w:pPr>
    <w:rPr>
      <w:rFonts w:ascii="Verdana" w:hAnsi="Verdana"/>
      <w:sz w:val="20"/>
      <w:lang w:val="en-US"/>
    </w:rPr>
  </w:style>
  <w:style w:type="character" w:styleId="CommentReference">
    <w:name w:val="annotation reference"/>
    <w:rsid w:val="00741AEB"/>
    <w:rPr>
      <w:sz w:val="16"/>
      <w:szCs w:val="16"/>
    </w:rPr>
  </w:style>
  <w:style w:type="paragraph" w:styleId="CommentText">
    <w:name w:val="annotation text"/>
    <w:basedOn w:val="Normal"/>
    <w:link w:val="CommentTextChar"/>
    <w:rsid w:val="00741AEB"/>
    <w:rPr>
      <w:sz w:val="20"/>
    </w:rPr>
  </w:style>
  <w:style w:type="character" w:customStyle="1" w:styleId="CommentTextChar">
    <w:name w:val="Comment Text Char"/>
    <w:basedOn w:val="DefaultParagraphFont"/>
    <w:link w:val="CommentText"/>
    <w:rsid w:val="00741AEB"/>
    <w:rPr>
      <w:rFonts w:ascii="Arial" w:hAnsi="Arial"/>
      <w:lang w:eastAsia="en-US"/>
    </w:rPr>
  </w:style>
  <w:style w:type="paragraph" w:styleId="CommentSubject">
    <w:name w:val="annotation subject"/>
    <w:basedOn w:val="CommentText"/>
    <w:next w:val="CommentText"/>
    <w:link w:val="CommentSubjectChar"/>
    <w:rsid w:val="00741AEB"/>
    <w:rPr>
      <w:b/>
      <w:bCs/>
    </w:rPr>
  </w:style>
  <w:style w:type="character" w:customStyle="1" w:styleId="CommentSubjectChar">
    <w:name w:val="Comment Subject Char"/>
    <w:basedOn w:val="CommentTextChar"/>
    <w:link w:val="CommentSubject"/>
    <w:rsid w:val="00741AEB"/>
    <w:rPr>
      <w:rFonts w:ascii="Arial" w:hAnsi="Arial"/>
      <w:b/>
      <w:bCs/>
      <w:lang w:eastAsia="en-US"/>
    </w:rPr>
  </w:style>
  <w:style w:type="paragraph" w:customStyle="1" w:styleId="xl65">
    <w:name w:val="xl6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66">
    <w:name w:val="xl6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eastAsia="en-GB"/>
    </w:rPr>
  </w:style>
  <w:style w:type="paragraph" w:customStyle="1" w:styleId="xl67">
    <w:name w:val="xl67"/>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pPr>
    <w:rPr>
      <w:rFonts w:ascii="Times New Roman" w:hAnsi="Times New Roman"/>
      <w:b/>
      <w:bCs/>
      <w:sz w:val="20"/>
      <w:lang w:eastAsia="en-GB"/>
    </w:rPr>
  </w:style>
  <w:style w:type="paragraph" w:customStyle="1" w:styleId="xl68">
    <w:name w:val="xl68"/>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right"/>
    </w:pPr>
    <w:rPr>
      <w:rFonts w:ascii="Times New Roman" w:hAnsi="Times New Roman"/>
      <w:b/>
      <w:bCs/>
      <w:sz w:val="20"/>
      <w:lang w:eastAsia="en-GB"/>
    </w:rPr>
  </w:style>
  <w:style w:type="paragraph" w:customStyle="1" w:styleId="xl69">
    <w:name w:val="xl69"/>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b/>
      <w:bCs/>
      <w:sz w:val="20"/>
      <w:lang w:eastAsia="en-GB"/>
    </w:rPr>
  </w:style>
  <w:style w:type="paragraph" w:customStyle="1" w:styleId="xl70">
    <w:name w:val="xl7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szCs w:val="24"/>
      <w:lang w:eastAsia="en-GB"/>
    </w:rPr>
  </w:style>
  <w:style w:type="paragraph" w:customStyle="1" w:styleId="xl71">
    <w:name w:val="xl71"/>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sz w:val="20"/>
      <w:lang w:eastAsia="en-GB"/>
    </w:rPr>
  </w:style>
  <w:style w:type="paragraph" w:customStyle="1" w:styleId="xl72">
    <w:name w:val="xl7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3">
    <w:name w:val="xl7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74">
    <w:name w:val="xl7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5">
    <w:name w:val="xl7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6">
    <w:name w:val="xl7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7">
    <w:name w:val="xl77"/>
    <w:basedOn w:val="Normal"/>
    <w:rsid w:val="00741AE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Times New Roman" w:hAnsi="Times New Roman"/>
      <w:sz w:val="20"/>
      <w:lang w:eastAsia="en-GB"/>
    </w:rPr>
  </w:style>
  <w:style w:type="paragraph" w:customStyle="1" w:styleId="xl78">
    <w:name w:val="xl78"/>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79">
    <w:name w:val="xl79"/>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80">
    <w:name w:val="xl80"/>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1">
    <w:name w:val="xl81"/>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lang w:eastAsia="en-GB"/>
    </w:rPr>
  </w:style>
  <w:style w:type="paragraph" w:customStyle="1" w:styleId="xl82">
    <w:name w:val="xl8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83">
    <w:name w:val="xl83"/>
    <w:basedOn w:val="Normal"/>
    <w:rsid w:val="00741AEB"/>
    <w:pPr>
      <w:spacing w:before="100" w:beforeAutospacing="1" w:after="100" w:afterAutospacing="1"/>
    </w:pPr>
    <w:rPr>
      <w:rFonts w:ascii="Times New Roman" w:hAnsi="Times New Roman"/>
      <w:szCs w:val="24"/>
      <w:lang w:eastAsia="en-GB"/>
    </w:rPr>
  </w:style>
  <w:style w:type="paragraph" w:customStyle="1" w:styleId="xl84">
    <w:name w:val="xl8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5">
    <w:name w:val="xl8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6">
    <w:name w:val="xl8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87">
    <w:name w:val="xl87"/>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8">
    <w:name w:val="xl88"/>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89">
    <w:name w:val="xl89"/>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90">
    <w:name w:val="xl90"/>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0"/>
      <w:lang w:eastAsia="en-GB"/>
    </w:rPr>
  </w:style>
  <w:style w:type="paragraph" w:customStyle="1" w:styleId="xl91">
    <w:name w:val="xl91"/>
    <w:basedOn w:val="Normal"/>
    <w:rsid w:val="00741AEB"/>
    <w:pPr>
      <w:spacing w:before="100" w:beforeAutospacing="1" w:after="100" w:afterAutospacing="1"/>
    </w:pPr>
    <w:rPr>
      <w:rFonts w:ascii="Times New Roman" w:hAnsi="Times New Roman"/>
      <w:b/>
      <w:bCs/>
      <w:szCs w:val="24"/>
      <w:lang w:eastAsia="en-GB"/>
    </w:rPr>
  </w:style>
  <w:style w:type="paragraph" w:customStyle="1" w:styleId="xl92">
    <w:name w:val="xl92"/>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Times New Roman" w:hAnsi="Times New Roman"/>
      <w:sz w:val="20"/>
      <w:lang w:eastAsia="en-GB"/>
    </w:rPr>
  </w:style>
  <w:style w:type="paragraph" w:customStyle="1" w:styleId="xl93">
    <w:name w:val="xl93"/>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Times New Roman" w:hAnsi="Times New Roman"/>
      <w:sz w:val="20"/>
      <w:lang w:eastAsia="en-GB"/>
    </w:rPr>
  </w:style>
  <w:style w:type="paragraph" w:customStyle="1" w:styleId="xl94">
    <w:name w:val="xl94"/>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sz w:val="20"/>
      <w:lang w:eastAsia="en-GB"/>
    </w:rPr>
  </w:style>
  <w:style w:type="paragraph" w:customStyle="1" w:styleId="xl95">
    <w:name w:val="xl95"/>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Times New Roman" w:hAnsi="Times New Roman"/>
      <w:szCs w:val="24"/>
      <w:lang w:eastAsia="en-GB"/>
    </w:rPr>
  </w:style>
  <w:style w:type="paragraph" w:customStyle="1" w:styleId="xl96">
    <w:name w:val="xl96"/>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hAnsi="Times New Roman"/>
      <w:szCs w:val="24"/>
      <w:lang w:eastAsia="en-GB"/>
    </w:rPr>
  </w:style>
  <w:style w:type="paragraph" w:customStyle="1" w:styleId="xl97">
    <w:name w:val="xl97"/>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hAnsi="Times New Roman"/>
      <w:szCs w:val="24"/>
      <w:lang w:eastAsia="en-GB"/>
    </w:rPr>
  </w:style>
  <w:style w:type="paragraph" w:customStyle="1" w:styleId="xl98">
    <w:name w:val="xl98"/>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lang w:eastAsia="en-GB"/>
    </w:rPr>
  </w:style>
  <w:style w:type="paragraph" w:customStyle="1" w:styleId="xl99">
    <w:name w:val="xl99"/>
    <w:basedOn w:val="Normal"/>
    <w:rsid w:val="00741AE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rPr>
      <w:rFonts w:ascii="Times New Roman" w:hAnsi="Times New Roman"/>
      <w:sz w:val="20"/>
      <w:lang w:eastAsia="en-GB"/>
    </w:rPr>
  </w:style>
  <w:style w:type="paragraph" w:customStyle="1" w:styleId="xl100">
    <w:name w:val="xl10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b/>
      <w:bCs/>
      <w:sz w:val="20"/>
      <w:lang w:eastAsia="en-GB"/>
    </w:rPr>
  </w:style>
  <w:style w:type="paragraph" w:customStyle="1" w:styleId="xl101">
    <w:name w:val="xl101"/>
    <w:basedOn w:val="Normal"/>
    <w:rsid w:val="00741AEB"/>
    <w:pPr>
      <w:spacing w:before="100" w:beforeAutospacing="1" w:after="100" w:afterAutospacing="1"/>
    </w:pPr>
    <w:rPr>
      <w:rFonts w:ascii="Times New Roman" w:hAnsi="Times New Roman"/>
      <w:sz w:val="20"/>
      <w:lang w:eastAsia="en-GB"/>
    </w:rPr>
  </w:style>
  <w:style w:type="paragraph" w:customStyle="1" w:styleId="xl102">
    <w:name w:val="xl10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103">
    <w:name w:val="xl10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eastAsia="en-GB"/>
    </w:rPr>
  </w:style>
  <w:style w:type="paragraph" w:customStyle="1" w:styleId="xl104">
    <w:name w:val="xl104"/>
    <w:basedOn w:val="Normal"/>
    <w:rsid w:val="00741AE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105">
    <w:name w:val="xl105"/>
    <w:basedOn w:val="Normal"/>
    <w:rsid w:val="00741AE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CharCharCharChar4">
    <w:name w:val="Char Char Char Char4"/>
    <w:basedOn w:val="Normal"/>
    <w:locked/>
    <w:rsid w:val="00DC5AEC"/>
    <w:pPr>
      <w:spacing w:after="160" w:line="240" w:lineRule="exact"/>
    </w:pPr>
    <w:rPr>
      <w:rFonts w:ascii="Verdana" w:hAnsi="Verdana"/>
      <w:sz w:val="20"/>
      <w:lang w:val="en-US"/>
    </w:rPr>
  </w:style>
  <w:style w:type="paragraph" w:styleId="Revision">
    <w:name w:val="Revision"/>
    <w:hidden/>
    <w:uiPriority w:val="99"/>
    <w:semiHidden/>
    <w:rsid w:val="00F71F33"/>
    <w:rPr>
      <w:rFonts w:ascii="Arial" w:hAnsi="Arial"/>
      <w:sz w:val="24"/>
      <w:lang w:eastAsia="en-US"/>
    </w:rPr>
  </w:style>
  <w:style w:type="paragraph" w:customStyle="1" w:styleId="Default">
    <w:name w:val="Default"/>
    <w:rsid w:val="0062479E"/>
    <w:pPr>
      <w:autoSpaceDE w:val="0"/>
      <w:autoSpaceDN w:val="0"/>
      <w:adjustRightInd w:val="0"/>
    </w:pPr>
    <w:rPr>
      <w:rFonts w:ascii="Arial" w:eastAsia="Calibri" w:hAnsi="Arial" w:cs="Arial"/>
      <w:color w:val="000000"/>
      <w:sz w:val="24"/>
      <w:szCs w:val="24"/>
    </w:rPr>
  </w:style>
  <w:style w:type="paragraph" w:customStyle="1" w:styleId="CharCharCharChar3">
    <w:name w:val="Char Char Char Char3"/>
    <w:basedOn w:val="Normal"/>
    <w:locked/>
    <w:rsid w:val="00E121EB"/>
    <w:pPr>
      <w:spacing w:after="160" w:line="240" w:lineRule="exact"/>
    </w:pPr>
    <w:rPr>
      <w:rFonts w:ascii="Verdana" w:hAnsi="Verdana"/>
      <w:sz w:val="20"/>
      <w:lang w:val="en-US"/>
    </w:rPr>
  </w:style>
  <w:style w:type="paragraph" w:customStyle="1" w:styleId="CharCharCharChar1">
    <w:name w:val="Char Char Char Char1"/>
    <w:basedOn w:val="Normal"/>
    <w:locked/>
    <w:rsid w:val="00E662CB"/>
    <w:pPr>
      <w:spacing w:after="160" w:line="240" w:lineRule="exact"/>
    </w:pPr>
    <w:rPr>
      <w:rFonts w:ascii="Verdana" w:hAnsi="Verdana"/>
      <w:sz w:val="20"/>
      <w:lang w:val="en-US"/>
    </w:rPr>
  </w:style>
  <w:style w:type="character" w:styleId="LineNumber">
    <w:name w:val="line number"/>
    <w:basedOn w:val="DefaultParagraphFont"/>
    <w:rsid w:val="00D73C5B"/>
  </w:style>
  <w:style w:type="paragraph" w:customStyle="1" w:styleId="CharCharCharChar6">
    <w:name w:val="Char Char Char Char6"/>
    <w:basedOn w:val="Normal"/>
    <w:locked/>
    <w:rsid w:val="005A04AE"/>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036">
      <w:bodyDiv w:val="1"/>
      <w:marLeft w:val="0"/>
      <w:marRight w:val="0"/>
      <w:marTop w:val="0"/>
      <w:marBottom w:val="0"/>
      <w:divBdr>
        <w:top w:val="none" w:sz="0" w:space="0" w:color="auto"/>
        <w:left w:val="none" w:sz="0" w:space="0" w:color="auto"/>
        <w:bottom w:val="none" w:sz="0" w:space="0" w:color="auto"/>
        <w:right w:val="none" w:sz="0" w:space="0" w:color="auto"/>
      </w:divBdr>
    </w:div>
    <w:div w:id="29959124">
      <w:bodyDiv w:val="1"/>
      <w:marLeft w:val="0"/>
      <w:marRight w:val="0"/>
      <w:marTop w:val="0"/>
      <w:marBottom w:val="0"/>
      <w:divBdr>
        <w:top w:val="none" w:sz="0" w:space="0" w:color="auto"/>
        <w:left w:val="none" w:sz="0" w:space="0" w:color="auto"/>
        <w:bottom w:val="none" w:sz="0" w:space="0" w:color="auto"/>
        <w:right w:val="none" w:sz="0" w:space="0" w:color="auto"/>
      </w:divBdr>
    </w:div>
    <w:div w:id="30808353">
      <w:bodyDiv w:val="1"/>
      <w:marLeft w:val="0"/>
      <w:marRight w:val="0"/>
      <w:marTop w:val="0"/>
      <w:marBottom w:val="0"/>
      <w:divBdr>
        <w:top w:val="none" w:sz="0" w:space="0" w:color="auto"/>
        <w:left w:val="none" w:sz="0" w:space="0" w:color="auto"/>
        <w:bottom w:val="none" w:sz="0" w:space="0" w:color="auto"/>
        <w:right w:val="none" w:sz="0" w:space="0" w:color="auto"/>
      </w:divBdr>
    </w:div>
    <w:div w:id="49160106">
      <w:bodyDiv w:val="1"/>
      <w:marLeft w:val="0"/>
      <w:marRight w:val="0"/>
      <w:marTop w:val="0"/>
      <w:marBottom w:val="0"/>
      <w:divBdr>
        <w:top w:val="none" w:sz="0" w:space="0" w:color="auto"/>
        <w:left w:val="none" w:sz="0" w:space="0" w:color="auto"/>
        <w:bottom w:val="none" w:sz="0" w:space="0" w:color="auto"/>
        <w:right w:val="none" w:sz="0" w:space="0" w:color="auto"/>
      </w:divBdr>
    </w:div>
    <w:div w:id="52389938">
      <w:bodyDiv w:val="1"/>
      <w:marLeft w:val="0"/>
      <w:marRight w:val="0"/>
      <w:marTop w:val="0"/>
      <w:marBottom w:val="0"/>
      <w:divBdr>
        <w:top w:val="none" w:sz="0" w:space="0" w:color="auto"/>
        <w:left w:val="none" w:sz="0" w:space="0" w:color="auto"/>
        <w:bottom w:val="none" w:sz="0" w:space="0" w:color="auto"/>
        <w:right w:val="none" w:sz="0" w:space="0" w:color="auto"/>
      </w:divBdr>
    </w:div>
    <w:div w:id="78210410">
      <w:bodyDiv w:val="1"/>
      <w:marLeft w:val="0"/>
      <w:marRight w:val="0"/>
      <w:marTop w:val="0"/>
      <w:marBottom w:val="0"/>
      <w:divBdr>
        <w:top w:val="none" w:sz="0" w:space="0" w:color="auto"/>
        <w:left w:val="none" w:sz="0" w:space="0" w:color="auto"/>
        <w:bottom w:val="none" w:sz="0" w:space="0" w:color="auto"/>
        <w:right w:val="none" w:sz="0" w:space="0" w:color="auto"/>
      </w:divBdr>
    </w:div>
    <w:div w:id="92362291">
      <w:bodyDiv w:val="1"/>
      <w:marLeft w:val="0"/>
      <w:marRight w:val="0"/>
      <w:marTop w:val="0"/>
      <w:marBottom w:val="0"/>
      <w:divBdr>
        <w:top w:val="none" w:sz="0" w:space="0" w:color="auto"/>
        <w:left w:val="none" w:sz="0" w:space="0" w:color="auto"/>
        <w:bottom w:val="none" w:sz="0" w:space="0" w:color="auto"/>
        <w:right w:val="none" w:sz="0" w:space="0" w:color="auto"/>
      </w:divBdr>
    </w:div>
    <w:div w:id="107049033">
      <w:bodyDiv w:val="1"/>
      <w:marLeft w:val="0"/>
      <w:marRight w:val="0"/>
      <w:marTop w:val="0"/>
      <w:marBottom w:val="0"/>
      <w:divBdr>
        <w:top w:val="none" w:sz="0" w:space="0" w:color="auto"/>
        <w:left w:val="none" w:sz="0" w:space="0" w:color="auto"/>
        <w:bottom w:val="none" w:sz="0" w:space="0" w:color="auto"/>
        <w:right w:val="none" w:sz="0" w:space="0" w:color="auto"/>
      </w:divBdr>
    </w:div>
    <w:div w:id="117378666">
      <w:bodyDiv w:val="1"/>
      <w:marLeft w:val="0"/>
      <w:marRight w:val="0"/>
      <w:marTop w:val="0"/>
      <w:marBottom w:val="0"/>
      <w:divBdr>
        <w:top w:val="none" w:sz="0" w:space="0" w:color="auto"/>
        <w:left w:val="none" w:sz="0" w:space="0" w:color="auto"/>
        <w:bottom w:val="none" w:sz="0" w:space="0" w:color="auto"/>
        <w:right w:val="none" w:sz="0" w:space="0" w:color="auto"/>
      </w:divBdr>
    </w:div>
    <w:div w:id="133106798">
      <w:bodyDiv w:val="1"/>
      <w:marLeft w:val="0"/>
      <w:marRight w:val="0"/>
      <w:marTop w:val="0"/>
      <w:marBottom w:val="0"/>
      <w:divBdr>
        <w:top w:val="none" w:sz="0" w:space="0" w:color="auto"/>
        <w:left w:val="none" w:sz="0" w:space="0" w:color="auto"/>
        <w:bottom w:val="none" w:sz="0" w:space="0" w:color="auto"/>
        <w:right w:val="none" w:sz="0" w:space="0" w:color="auto"/>
      </w:divBdr>
    </w:div>
    <w:div w:id="194927581">
      <w:bodyDiv w:val="1"/>
      <w:marLeft w:val="0"/>
      <w:marRight w:val="0"/>
      <w:marTop w:val="0"/>
      <w:marBottom w:val="0"/>
      <w:divBdr>
        <w:top w:val="none" w:sz="0" w:space="0" w:color="auto"/>
        <w:left w:val="none" w:sz="0" w:space="0" w:color="auto"/>
        <w:bottom w:val="none" w:sz="0" w:space="0" w:color="auto"/>
        <w:right w:val="none" w:sz="0" w:space="0" w:color="auto"/>
      </w:divBdr>
    </w:div>
    <w:div w:id="200484648">
      <w:bodyDiv w:val="1"/>
      <w:marLeft w:val="0"/>
      <w:marRight w:val="0"/>
      <w:marTop w:val="0"/>
      <w:marBottom w:val="0"/>
      <w:divBdr>
        <w:top w:val="none" w:sz="0" w:space="0" w:color="auto"/>
        <w:left w:val="none" w:sz="0" w:space="0" w:color="auto"/>
        <w:bottom w:val="none" w:sz="0" w:space="0" w:color="auto"/>
        <w:right w:val="none" w:sz="0" w:space="0" w:color="auto"/>
      </w:divBdr>
    </w:div>
    <w:div w:id="231702436">
      <w:bodyDiv w:val="1"/>
      <w:marLeft w:val="0"/>
      <w:marRight w:val="0"/>
      <w:marTop w:val="0"/>
      <w:marBottom w:val="0"/>
      <w:divBdr>
        <w:top w:val="none" w:sz="0" w:space="0" w:color="auto"/>
        <w:left w:val="none" w:sz="0" w:space="0" w:color="auto"/>
        <w:bottom w:val="none" w:sz="0" w:space="0" w:color="auto"/>
        <w:right w:val="none" w:sz="0" w:space="0" w:color="auto"/>
      </w:divBdr>
    </w:div>
    <w:div w:id="302582166">
      <w:bodyDiv w:val="1"/>
      <w:marLeft w:val="0"/>
      <w:marRight w:val="0"/>
      <w:marTop w:val="0"/>
      <w:marBottom w:val="0"/>
      <w:divBdr>
        <w:top w:val="none" w:sz="0" w:space="0" w:color="auto"/>
        <w:left w:val="none" w:sz="0" w:space="0" w:color="auto"/>
        <w:bottom w:val="none" w:sz="0" w:space="0" w:color="auto"/>
        <w:right w:val="none" w:sz="0" w:space="0" w:color="auto"/>
      </w:divBdr>
    </w:div>
    <w:div w:id="307631738">
      <w:bodyDiv w:val="1"/>
      <w:marLeft w:val="0"/>
      <w:marRight w:val="0"/>
      <w:marTop w:val="0"/>
      <w:marBottom w:val="0"/>
      <w:divBdr>
        <w:top w:val="none" w:sz="0" w:space="0" w:color="auto"/>
        <w:left w:val="none" w:sz="0" w:space="0" w:color="auto"/>
        <w:bottom w:val="none" w:sz="0" w:space="0" w:color="auto"/>
        <w:right w:val="none" w:sz="0" w:space="0" w:color="auto"/>
      </w:divBdr>
    </w:div>
    <w:div w:id="328993865">
      <w:bodyDiv w:val="1"/>
      <w:marLeft w:val="0"/>
      <w:marRight w:val="0"/>
      <w:marTop w:val="0"/>
      <w:marBottom w:val="0"/>
      <w:divBdr>
        <w:top w:val="none" w:sz="0" w:space="0" w:color="auto"/>
        <w:left w:val="none" w:sz="0" w:space="0" w:color="auto"/>
        <w:bottom w:val="none" w:sz="0" w:space="0" w:color="auto"/>
        <w:right w:val="none" w:sz="0" w:space="0" w:color="auto"/>
      </w:divBdr>
    </w:div>
    <w:div w:id="334067300">
      <w:bodyDiv w:val="1"/>
      <w:marLeft w:val="0"/>
      <w:marRight w:val="0"/>
      <w:marTop w:val="0"/>
      <w:marBottom w:val="0"/>
      <w:divBdr>
        <w:top w:val="none" w:sz="0" w:space="0" w:color="auto"/>
        <w:left w:val="none" w:sz="0" w:space="0" w:color="auto"/>
        <w:bottom w:val="none" w:sz="0" w:space="0" w:color="auto"/>
        <w:right w:val="none" w:sz="0" w:space="0" w:color="auto"/>
      </w:divBdr>
    </w:div>
    <w:div w:id="361133286">
      <w:bodyDiv w:val="1"/>
      <w:marLeft w:val="0"/>
      <w:marRight w:val="0"/>
      <w:marTop w:val="0"/>
      <w:marBottom w:val="0"/>
      <w:divBdr>
        <w:top w:val="none" w:sz="0" w:space="0" w:color="auto"/>
        <w:left w:val="none" w:sz="0" w:space="0" w:color="auto"/>
        <w:bottom w:val="none" w:sz="0" w:space="0" w:color="auto"/>
        <w:right w:val="none" w:sz="0" w:space="0" w:color="auto"/>
      </w:divBdr>
    </w:div>
    <w:div w:id="381443550">
      <w:bodyDiv w:val="1"/>
      <w:marLeft w:val="0"/>
      <w:marRight w:val="0"/>
      <w:marTop w:val="0"/>
      <w:marBottom w:val="0"/>
      <w:divBdr>
        <w:top w:val="none" w:sz="0" w:space="0" w:color="auto"/>
        <w:left w:val="none" w:sz="0" w:space="0" w:color="auto"/>
        <w:bottom w:val="none" w:sz="0" w:space="0" w:color="auto"/>
        <w:right w:val="none" w:sz="0" w:space="0" w:color="auto"/>
      </w:divBdr>
    </w:div>
    <w:div w:id="387068493">
      <w:bodyDiv w:val="1"/>
      <w:marLeft w:val="0"/>
      <w:marRight w:val="0"/>
      <w:marTop w:val="0"/>
      <w:marBottom w:val="0"/>
      <w:divBdr>
        <w:top w:val="none" w:sz="0" w:space="0" w:color="auto"/>
        <w:left w:val="none" w:sz="0" w:space="0" w:color="auto"/>
        <w:bottom w:val="none" w:sz="0" w:space="0" w:color="auto"/>
        <w:right w:val="none" w:sz="0" w:space="0" w:color="auto"/>
      </w:divBdr>
    </w:div>
    <w:div w:id="428282078">
      <w:bodyDiv w:val="1"/>
      <w:marLeft w:val="0"/>
      <w:marRight w:val="0"/>
      <w:marTop w:val="0"/>
      <w:marBottom w:val="0"/>
      <w:divBdr>
        <w:top w:val="none" w:sz="0" w:space="0" w:color="auto"/>
        <w:left w:val="none" w:sz="0" w:space="0" w:color="auto"/>
        <w:bottom w:val="none" w:sz="0" w:space="0" w:color="auto"/>
        <w:right w:val="none" w:sz="0" w:space="0" w:color="auto"/>
      </w:divBdr>
    </w:div>
    <w:div w:id="439422349">
      <w:bodyDiv w:val="1"/>
      <w:marLeft w:val="0"/>
      <w:marRight w:val="0"/>
      <w:marTop w:val="0"/>
      <w:marBottom w:val="0"/>
      <w:divBdr>
        <w:top w:val="none" w:sz="0" w:space="0" w:color="auto"/>
        <w:left w:val="none" w:sz="0" w:space="0" w:color="auto"/>
        <w:bottom w:val="none" w:sz="0" w:space="0" w:color="auto"/>
        <w:right w:val="none" w:sz="0" w:space="0" w:color="auto"/>
      </w:divBdr>
    </w:div>
    <w:div w:id="456069648">
      <w:bodyDiv w:val="1"/>
      <w:marLeft w:val="0"/>
      <w:marRight w:val="0"/>
      <w:marTop w:val="0"/>
      <w:marBottom w:val="0"/>
      <w:divBdr>
        <w:top w:val="none" w:sz="0" w:space="0" w:color="auto"/>
        <w:left w:val="none" w:sz="0" w:space="0" w:color="auto"/>
        <w:bottom w:val="none" w:sz="0" w:space="0" w:color="auto"/>
        <w:right w:val="none" w:sz="0" w:space="0" w:color="auto"/>
      </w:divBdr>
    </w:div>
    <w:div w:id="488905775">
      <w:bodyDiv w:val="1"/>
      <w:marLeft w:val="0"/>
      <w:marRight w:val="0"/>
      <w:marTop w:val="0"/>
      <w:marBottom w:val="0"/>
      <w:divBdr>
        <w:top w:val="none" w:sz="0" w:space="0" w:color="auto"/>
        <w:left w:val="none" w:sz="0" w:space="0" w:color="auto"/>
        <w:bottom w:val="none" w:sz="0" w:space="0" w:color="auto"/>
        <w:right w:val="none" w:sz="0" w:space="0" w:color="auto"/>
      </w:divBdr>
    </w:div>
    <w:div w:id="514854331">
      <w:bodyDiv w:val="1"/>
      <w:marLeft w:val="0"/>
      <w:marRight w:val="0"/>
      <w:marTop w:val="0"/>
      <w:marBottom w:val="0"/>
      <w:divBdr>
        <w:top w:val="none" w:sz="0" w:space="0" w:color="auto"/>
        <w:left w:val="none" w:sz="0" w:space="0" w:color="auto"/>
        <w:bottom w:val="none" w:sz="0" w:space="0" w:color="auto"/>
        <w:right w:val="none" w:sz="0" w:space="0" w:color="auto"/>
      </w:divBdr>
    </w:div>
    <w:div w:id="517423826">
      <w:bodyDiv w:val="1"/>
      <w:marLeft w:val="0"/>
      <w:marRight w:val="0"/>
      <w:marTop w:val="0"/>
      <w:marBottom w:val="0"/>
      <w:divBdr>
        <w:top w:val="none" w:sz="0" w:space="0" w:color="auto"/>
        <w:left w:val="none" w:sz="0" w:space="0" w:color="auto"/>
        <w:bottom w:val="none" w:sz="0" w:space="0" w:color="auto"/>
        <w:right w:val="none" w:sz="0" w:space="0" w:color="auto"/>
      </w:divBdr>
    </w:div>
    <w:div w:id="522982387">
      <w:bodyDiv w:val="1"/>
      <w:marLeft w:val="0"/>
      <w:marRight w:val="0"/>
      <w:marTop w:val="0"/>
      <w:marBottom w:val="0"/>
      <w:divBdr>
        <w:top w:val="none" w:sz="0" w:space="0" w:color="auto"/>
        <w:left w:val="none" w:sz="0" w:space="0" w:color="auto"/>
        <w:bottom w:val="none" w:sz="0" w:space="0" w:color="auto"/>
        <w:right w:val="none" w:sz="0" w:space="0" w:color="auto"/>
      </w:divBdr>
    </w:div>
    <w:div w:id="531958617">
      <w:bodyDiv w:val="1"/>
      <w:marLeft w:val="0"/>
      <w:marRight w:val="0"/>
      <w:marTop w:val="0"/>
      <w:marBottom w:val="0"/>
      <w:divBdr>
        <w:top w:val="none" w:sz="0" w:space="0" w:color="auto"/>
        <w:left w:val="none" w:sz="0" w:space="0" w:color="auto"/>
        <w:bottom w:val="none" w:sz="0" w:space="0" w:color="auto"/>
        <w:right w:val="none" w:sz="0" w:space="0" w:color="auto"/>
      </w:divBdr>
    </w:div>
    <w:div w:id="536241616">
      <w:bodyDiv w:val="1"/>
      <w:marLeft w:val="0"/>
      <w:marRight w:val="0"/>
      <w:marTop w:val="0"/>
      <w:marBottom w:val="0"/>
      <w:divBdr>
        <w:top w:val="none" w:sz="0" w:space="0" w:color="auto"/>
        <w:left w:val="none" w:sz="0" w:space="0" w:color="auto"/>
        <w:bottom w:val="none" w:sz="0" w:space="0" w:color="auto"/>
        <w:right w:val="none" w:sz="0" w:space="0" w:color="auto"/>
      </w:divBdr>
    </w:div>
    <w:div w:id="558785685">
      <w:bodyDiv w:val="1"/>
      <w:marLeft w:val="0"/>
      <w:marRight w:val="0"/>
      <w:marTop w:val="0"/>
      <w:marBottom w:val="0"/>
      <w:divBdr>
        <w:top w:val="none" w:sz="0" w:space="0" w:color="auto"/>
        <w:left w:val="none" w:sz="0" w:space="0" w:color="auto"/>
        <w:bottom w:val="none" w:sz="0" w:space="0" w:color="auto"/>
        <w:right w:val="none" w:sz="0" w:space="0" w:color="auto"/>
      </w:divBdr>
    </w:div>
    <w:div w:id="576522347">
      <w:bodyDiv w:val="1"/>
      <w:marLeft w:val="0"/>
      <w:marRight w:val="0"/>
      <w:marTop w:val="0"/>
      <w:marBottom w:val="0"/>
      <w:divBdr>
        <w:top w:val="none" w:sz="0" w:space="0" w:color="auto"/>
        <w:left w:val="none" w:sz="0" w:space="0" w:color="auto"/>
        <w:bottom w:val="none" w:sz="0" w:space="0" w:color="auto"/>
        <w:right w:val="none" w:sz="0" w:space="0" w:color="auto"/>
      </w:divBdr>
    </w:div>
    <w:div w:id="585725146">
      <w:bodyDiv w:val="1"/>
      <w:marLeft w:val="0"/>
      <w:marRight w:val="0"/>
      <w:marTop w:val="0"/>
      <w:marBottom w:val="0"/>
      <w:divBdr>
        <w:top w:val="none" w:sz="0" w:space="0" w:color="auto"/>
        <w:left w:val="none" w:sz="0" w:space="0" w:color="auto"/>
        <w:bottom w:val="none" w:sz="0" w:space="0" w:color="auto"/>
        <w:right w:val="none" w:sz="0" w:space="0" w:color="auto"/>
      </w:divBdr>
    </w:div>
    <w:div w:id="595404660">
      <w:bodyDiv w:val="1"/>
      <w:marLeft w:val="0"/>
      <w:marRight w:val="0"/>
      <w:marTop w:val="0"/>
      <w:marBottom w:val="0"/>
      <w:divBdr>
        <w:top w:val="none" w:sz="0" w:space="0" w:color="auto"/>
        <w:left w:val="none" w:sz="0" w:space="0" w:color="auto"/>
        <w:bottom w:val="none" w:sz="0" w:space="0" w:color="auto"/>
        <w:right w:val="none" w:sz="0" w:space="0" w:color="auto"/>
      </w:divBdr>
    </w:div>
    <w:div w:id="599871168">
      <w:bodyDiv w:val="1"/>
      <w:marLeft w:val="0"/>
      <w:marRight w:val="0"/>
      <w:marTop w:val="0"/>
      <w:marBottom w:val="0"/>
      <w:divBdr>
        <w:top w:val="none" w:sz="0" w:space="0" w:color="auto"/>
        <w:left w:val="none" w:sz="0" w:space="0" w:color="auto"/>
        <w:bottom w:val="none" w:sz="0" w:space="0" w:color="auto"/>
        <w:right w:val="none" w:sz="0" w:space="0" w:color="auto"/>
      </w:divBdr>
    </w:div>
    <w:div w:id="622003602">
      <w:bodyDiv w:val="1"/>
      <w:marLeft w:val="0"/>
      <w:marRight w:val="0"/>
      <w:marTop w:val="0"/>
      <w:marBottom w:val="0"/>
      <w:divBdr>
        <w:top w:val="none" w:sz="0" w:space="0" w:color="auto"/>
        <w:left w:val="none" w:sz="0" w:space="0" w:color="auto"/>
        <w:bottom w:val="none" w:sz="0" w:space="0" w:color="auto"/>
        <w:right w:val="none" w:sz="0" w:space="0" w:color="auto"/>
      </w:divBdr>
    </w:div>
    <w:div w:id="625818848">
      <w:bodyDiv w:val="1"/>
      <w:marLeft w:val="0"/>
      <w:marRight w:val="0"/>
      <w:marTop w:val="0"/>
      <w:marBottom w:val="0"/>
      <w:divBdr>
        <w:top w:val="none" w:sz="0" w:space="0" w:color="auto"/>
        <w:left w:val="none" w:sz="0" w:space="0" w:color="auto"/>
        <w:bottom w:val="none" w:sz="0" w:space="0" w:color="auto"/>
        <w:right w:val="none" w:sz="0" w:space="0" w:color="auto"/>
      </w:divBdr>
    </w:div>
    <w:div w:id="643900094">
      <w:bodyDiv w:val="1"/>
      <w:marLeft w:val="0"/>
      <w:marRight w:val="0"/>
      <w:marTop w:val="0"/>
      <w:marBottom w:val="0"/>
      <w:divBdr>
        <w:top w:val="none" w:sz="0" w:space="0" w:color="auto"/>
        <w:left w:val="none" w:sz="0" w:space="0" w:color="auto"/>
        <w:bottom w:val="none" w:sz="0" w:space="0" w:color="auto"/>
        <w:right w:val="none" w:sz="0" w:space="0" w:color="auto"/>
      </w:divBdr>
    </w:div>
    <w:div w:id="650015930">
      <w:bodyDiv w:val="1"/>
      <w:marLeft w:val="0"/>
      <w:marRight w:val="0"/>
      <w:marTop w:val="0"/>
      <w:marBottom w:val="0"/>
      <w:divBdr>
        <w:top w:val="none" w:sz="0" w:space="0" w:color="auto"/>
        <w:left w:val="none" w:sz="0" w:space="0" w:color="auto"/>
        <w:bottom w:val="none" w:sz="0" w:space="0" w:color="auto"/>
        <w:right w:val="none" w:sz="0" w:space="0" w:color="auto"/>
      </w:divBdr>
    </w:div>
    <w:div w:id="681971686">
      <w:bodyDiv w:val="1"/>
      <w:marLeft w:val="0"/>
      <w:marRight w:val="0"/>
      <w:marTop w:val="0"/>
      <w:marBottom w:val="0"/>
      <w:divBdr>
        <w:top w:val="none" w:sz="0" w:space="0" w:color="auto"/>
        <w:left w:val="none" w:sz="0" w:space="0" w:color="auto"/>
        <w:bottom w:val="none" w:sz="0" w:space="0" w:color="auto"/>
        <w:right w:val="none" w:sz="0" w:space="0" w:color="auto"/>
      </w:divBdr>
    </w:div>
    <w:div w:id="705176114">
      <w:bodyDiv w:val="1"/>
      <w:marLeft w:val="0"/>
      <w:marRight w:val="0"/>
      <w:marTop w:val="0"/>
      <w:marBottom w:val="0"/>
      <w:divBdr>
        <w:top w:val="none" w:sz="0" w:space="0" w:color="auto"/>
        <w:left w:val="none" w:sz="0" w:space="0" w:color="auto"/>
        <w:bottom w:val="none" w:sz="0" w:space="0" w:color="auto"/>
        <w:right w:val="none" w:sz="0" w:space="0" w:color="auto"/>
      </w:divBdr>
    </w:div>
    <w:div w:id="72714816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8701017">
      <w:bodyDiv w:val="1"/>
      <w:marLeft w:val="0"/>
      <w:marRight w:val="0"/>
      <w:marTop w:val="0"/>
      <w:marBottom w:val="0"/>
      <w:divBdr>
        <w:top w:val="none" w:sz="0" w:space="0" w:color="auto"/>
        <w:left w:val="none" w:sz="0" w:space="0" w:color="auto"/>
        <w:bottom w:val="none" w:sz="0" w:space="0" w:color="auto"/>
        <w:right w:val="none" w:sz="0" w:space="0" w:color="auto"/>
      </w:divBdr>
    </w:div>
    <w:div w:id="784078437">
      <w:bodyDiv w:val="1"/>
      <w:marLeft w:val="0"/>
      <w:marRight w:val="0"/>
      <w:marTop w:val="0"/>
      <w:marBottom w:val="0"/>
      <w:divBdr>
        <w:top w:val="none" w:sz="0" w:space="0" w:color="auto"/>
        <w:left w:val="none" w:sz="0" w:space="0" w:color="auto"/>
        <w:bottom w:val="none" w:sz="0" w:space="0" w:color="auto"/>
        <w:right w:val="none" w:sz="0" w:space="0" w:color="auto"/>
      </w:divBdr>
    </w:div>
    <w:div w:id="793789600">
      <w:bodyDiv w:val="1"/>
      <w:marLeft w:val="0"/>
      <w:marRight w:val="0"/>
      <w:marTop w:val="0"/>
      <w:marBottom w:val="0"/>
      <w:divBdr>
        <w:top w:val="none" w:sz="0" w:space="0" w:color="auto"/>
        <w:left w:val="none" w:sz="0" w:space="0" w:color="auto"/>
        <w:bottom w:val="none" w:sz="0" w:space="0" w:color="auto"/>
        <w:right w:val="none" w:sz="0" w:space="0" w:color="auto"/>
      </w:divBdr>
    </w:div>
    <w:div w:id="794366769">
      <w:bodyDiv w:val="1"/>
      <w:marLeft w:val="0"/>
      <w:marRight w:val="0"/>
      <w:marTop w:val="0"/>
      <w:marBottom w:val="0"/>
      <w:divBdr>
        <w:top w:val="none" w:sz="0" w:space="0" w:color="auto"/>
        <w:left w:val="none" w:sz="0" w:space="0" w:color="auto"/>
        <w:bottom w:val="none" w:sz="0" w:space="0" w:color="auto"/>
        <w:right w:val="none" w:sz="0" w:space="0" w:color="auto"/>
      </w:divBdr>
    </w:div>
    <w:div w:id="799609494">
      <w:bodyDiv w:val="1"/>
      <w:marLeft w:val="0"/>
      <w:marRight w:val="0"/>
      <w:marTop w:val="0"/>
      <w:marBottom w:val="0"/>
      <w:divBdr>
        <w:top w:val="none" w:sz="0" w:space="0" w:color="auto"/>
        <w:left w:val="none" w:sz="0" w:space="0" w:color="auto"/>
        <w:bottom w:val="none" w:sz="0" w:space="0" w:color="auto"/>
        <w:right w:val="none" w:sz="0" w:space="0" w:color="auto"/>
      </w:divBdr>
    </w:div>
    <w:div w:id="800927637">
      <w:bodyDiv w:val="1"/>
      <w:marLeft w:val="0"/>
      <w:marRight w:val="0"/>
      <w:marTop w:val="0"/>
      <w:marBottom w:val="0"/>
      <w:divBdr>
        <w:top w:val="none" w:sz="0" w:space="0" w:color="auto"/>
        <w:left w:val="none" w:sz="0" w:space="0" w:color="auto"/>
        <w:bottom w:val="none" w:sz="0" w:space="0" w:color="auto"/>
        <w:right w:val="none" w:sz="0" w:space="0" w:color="auto"/>
      </w:divBdr>
    </w:div>
    <w:div w:id="801769158">
      <w:bodyDiv w:val="1"/>
      <w:marLeft w:val="0"/>
      <w:marRight w:val="0"/>
      <w:marTop w:val="0"/>
      <w:marBottom w:val="0"/>
      <w:divBdr>
        <w:top w:val="none" w:sz="0" w:space="0" w:color="auto"/>
        <w:left w:val="none" w:sz="0" w:space="0" w:color="auto"/>
        <w:bottom w:val="none" w:sz="0" w:space="0" w:color="auto"/>
        <w:right w:val="none" w:sz="0" w:space="0" w:color="auto"/>
      </w:divBdr>
    </w:div>
    <w:div w:id="817263394">
      <w:bodyDiv w:val="1"/>
      <w:marLeft w:val="0"/>
      <w:marRight w:val="0"/>
      <w:marTop w:val="0"/>
      <w:marBottom w:val="0"/>
      <w:divBdr>
        <w:top w:val="none" w:sz="0" w:space="0" w:color="auto"/>
        <w:left w:val="none" w:sz="0" w:space="0" w:color="auto"/>
        <w:bottom w:val="none" w:sz="0" w:space="0" w:color="auto"/>
        <w:right w:val="none" w:sz="0" w:space="0" w:color="auto"/>
      </w:divBdr>
    </w:div>
    <w:div w:id="828406580">
      <w:bodyDiv w:val="1"/>
      <w:marLeft w:val="0"/>
      <w:marRight w:val="0"/>
      <w:marTop w:val="0"/>
      <w:marBottom w:val="0"/>
      <w:divBdr>
        <w:top w:val="none" w:sz="0" w:space="0" w:color="auto"/>
        <w:left w:val="none" w:sz="0" w:space="0" w:color="auto"/>
        <w:bottom w:val="none" w:sz="0" w:space="0" w:color="auto"/>
        <w:right w:val="none" w:sz="0" w:space="0" w:color="auto"/>
      </w:divBdr>
    </w:div>
    <w:div w:id="831868340">
      <w:bodyDiv w:val="1"/>
      <w:marLeft w:val="0"/>
      <w:marRight w:val="0"/>
      <w:marTop w:val="0"/>
      <w:marBottom w:val="0"/>
      <w:divBdr>
        <w:top w:val="none" w:sz="0" w:space="0" w:color="auto"/>
        <w:left w:val="none" w:sz="0" w:space="0" w:color="auto"/>
        <w:bottom w:val="none" w:sz="0" w:space="0" w:color="auto"/>
        <w:right w:val="none" w:sz="0" w:space="0" w:color="auto"/>
      </w:divBdr>
    </w:div>
    <w:div w:id="870073555">
      <w:bodyDiv w:val="1"/>
      <w:marLeft w:val="0"/>
      <w:marRight w:val="0"/>
      <w:marTop w:val="0"/>
      <w:marBottom w:val="0"/>
      <w:divBdr>
        <w:top w:val="none" w:sz="0" w:space="0" w:color="auto"/>
        <w:left w:val="none" w:sz="0" w:space="0" w:color="auto"/>
        <w:bottom w:val="none" w:sz="0" w:space="0" w:color="auto"/>
        <w:right w:val="none" w:sz="0" w:space="0" w:color="auto"/>
      </w:divBdr>
    </w:div>
    <w:div w:id="892154293">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07420434">
      <w:bodyDiv w:val="1"/>
      <w:marLeft w:val="0"/>
      <w:marRight w:val="0"/>
      <w:marTop w:val="0"/>
      <w:marBottom w:val="0"/>
      <w:divBdr>
        <w:top w:val="none" w:sz="0" w:space="0" w:color="auto"/>
        <w:left w:val="none" w:sz="0" w:space="0" w:color="auto"/>
        <w:bottom w:val="none" w:sz="0" w:space="0" w:color="auto"/>
        <w:right w:val="none" w:sz="0" w:space="0" w:color="auto"/>
      </w:divBdr>
    </w:div>
    <w:div w:id="910583300">
      <w:bodyDiv w:val="1"/>
      <w:marLeft w:val="0"/>
      <w:marRight w:val="0"/>
      <w:marTop w:val="0"/>
      <w:marBottom w:val="0"/>
      <w:divBdr>
        <w:top w:val="none" w:sz="0" w:space="0" w:color="auto"/>
        <w:left w:val="none" w:sz="0" w:space="0" w:color="auto"/>
        <w:bottom w:val="none" w:sz="0" w:space="0" w:color="auto"/>
        <w:right w:val="none" w:sz="0" w:space="0" w:color="auto"/>
      </w:divBdr>
    </w:div>
    <w:div w:id="937564921">
      <w:bodyDiv w:val="1"/>
      <w:marLeft w:val="0"/>
      <w:marRight w:val="0"/>
      <w:marTop w:val="0"/>
      <w:marBottom w:val="0"/>
      <w:divBdr>
        <w:top w:val="none" w:sz="0" w:space="0" w:color="auto"/>
        <w:left w:val="none" w:sz="0" w:space="0" w:color="auto"/>
        <w:bottom w:val="none" w:sz="0" w:space="0" w:color="auto"/>
        <w:right w:val="none" w:sz="0" w:space="0" w:color="auto"/>
      </w:divBdr>
    </w:div>
    <w:div w:id="944456009">
      <w:bodyDiv w:val="1"/>
      <w:marLeft w:val="0"/>
      <w:marRight w:val="0"/>
      <w:marTop w:val="0"/>
      <w:marBottom w:val="0"/>
      <w:divBdr>
        <w:top w:val="none" w:sz="0" w:space="0" w:color="auto"/>
        <w:left w:val="none" w:sz="0" w:space="0" w:color="auto"/>
        <w:bottom w:val="none" w:sz="0" w:space="0" w:color="auto"/>
        <w:right w:val="none" w:sz="0" w:space="0" w:color="auto"/>
      </w:divBdr>
    </w:div>
    <w:div w:id="961233044">
      <w:bodyDiv w:val="1"/>
      <w:marLeft w:val="0"/>
      <w:marRight w:val="0"/>
      <w:marTop w:val="0"/>
      <w:marBottom w:val="0"/>
      <w:divBdr>
        <w:top w:val="none" w:sz="0" w:space="0" w:color="auto"/>
        <w:left w:val="none" w:sz="0" w:space="0" w:color="auto"/>
        <w:bottom w:val="none" w:sz="0" w:space="0" w:color="auto"/>
        <w:right w:val="none" w:sz="0" w:space="0" w:color="auto"/>
      </w:divBdr>
    </w:div>
    <w:div w:id="975918538">
      <w:bodyDiv w:val="1"/>
      <w:marLeft w:val="0"/>
      <w:marRight w:val="0"/>
      <w:marTop w:val="0"/>
      <w:marBottom w:val="0"/>
      <w:divBdr>
        <w:top w:val="none" w:sz="0" w:space="0" w:color="auto"/>
        <w:left w:val="none" w:sz="0" w:space="0" w:color="auto"/>
        <w:bottom w:val="none" w:sz="0" w:space="0" w:color="auto"/>
        <w:right w:val="none" w:sz="0" w:space="0" w:color="auto"/>
      </w:divBdr>
    </w:div>
    <w:div w:id="1001084558">
      <w:bodyDiv w:val="1"/>
      <w:marLeft w:val="0"/>
      <w:marRight w:val="0"/>
      <w:marTop w:val="0"/>
      <w:marBottom w:val="0"/>
      <w:divBdr>
        <w:top w:val="none" w:sz="0" w:space="0" w:color="auto"/>
        <w:left w:val="none" w:sz="0" w:space="0" w:color="auto"/>
        <w:bottom w:val="none" w:sz="0" w:space="0" w:color="auto"/>
        <w:right w:val="none" w:sz="0" w:space="0" w:color="auto"/>
      </w:divBdr>
    </w:div>
    <w:div w:id="1006320112">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88581141">
      <w:bodyDiv w:val="1"/>
      <w:marLeft w:val="0"/>
      <w:marRight w:val="0"/>
      <w:marTop w:val="0"/>
      <w:marBottom w:val="0"/>
      <w:divBdr>
        <w:top w:val="none" w:sz="0" w:space="0" w:color="auto"/>
        <w:left w:val="none" w:sz="0" w:space="0" w:color="auto"/>
        <w:bottom w:val="none" w:sz="0" w:space="0" w:color="auto"/>
        <w:right w:val="none" w:sz="0" w:space="0" w:color="auto"/>
      </w:divBdr>
    </w:div>
    <w:div w:id="1108235562">
      <w:bodyDiv w:val="1"/>
      <w:marLeft w:val="0"/>
      <w:marRight w:val="0"/>
      <w:marTop w:val="0"/>
      <w:marBottom w:val="0"/>
      <w:divBdr>
        <w:top w:val="none" w:sz="0" w:space="0" w:color="auto"/>
        <w:left w:val="none" w:sz="0" w:space="0" w:color="auto"/>
        <w:bottom w:val="none" w:sz="0" w:space="0" w:color="auto"/>
        <w:right w:val="none" w:sz="0" w:space="0" w:color="auto"/>
      </w:divBdr>
    </w:div>
    <w:div w:id="1152872379">
      <w:bodyDiv w:val="1"/>
      <w:marLeft w:val="0"/>
      <w:marRight w:val="0"/>
      <w:marTop w:val="0"/>
      <w:marBottom w:val="0"/>
      <w:divBdr>
        <w:top w:val="none" w:sz="0" w:space="0" w:color="auto"/>
        <w:left w:val="none" w:sz="0" w:space="0" w:color="auto"/>
        <w:bottom w:val="none" w:sz="0" w:space="0" w:color="auto"/>
        <w:right w:val="none" w:sz="0" w:space="0" w:color="auto"/>
      </w:divBdr>
    </w:div>
    <w:div w:id="1154562323">
      <w:bodyDiv w:val="1"/>
      <w:marLeft w:val="0"/>
      <w:marRight w:val="0"/>
      <w:marTop w:val="0"/>
      <w:marBottom w:val="0"/>
      <w:divBdr>
        <w:top w:val="none" w:sz="0" w:space="0" w:color="auto"/>
        <w:left w:val="none" w:sz="0" w:space="0" w:color="auto"/>
        <w:bottom w:val="none" w:sz="0" w:space="0" w:color="auto"/>
        <w:right w:val="none" w:sz="0" w:space="0" w:color="auto"/>
      </w:divBdr>
    </w:div>
    <w:div w:id="1163011930">
      <w:bodyDiv w:val="1"/>
      <w:marLeft w:val="0"/>
      <w:marRight w:val="0"/>
      <w:marTop w:val="0"/>
      <w:marBottom w:val="0"/>
      <w:divBdr>
        <w:top w:val="none" w:sz="0" w:space="0" w:color="auto"/>
        <w:left w:val="none" w:sz="0" w:space="0" w:color="auto"/>
        <w:bottom w:val="none" w:sz="0" w:space="0" w:color="auto"/>
        <w:right w:val="none" w:sz="0" w:space="0" w:color="auto"/>
      </w:divBdr>
    </w:div>
    <w:div w:id="1188563571">
      <w:bodyDiv w:val="1"/>
      <w:marLeft w:val="0"/>
      <w:marRight w:val="0"/>
      <w:marTop w:val="0"/>
      <w:marBottom w:val="0"/>
      <w:divBdr>
        <w:top w:val="none" w:sz="0" w:space="0" w:color="auto"/>
        <w:left w:val="none" w:sz="0" w:space="0" w:color="auto"/>
        <w:bottom w:val="none" w:sz="0" w:space="0" w:color="auto"/>
        <w:right w:val="none" w:sz="0" w:space="0" w:color="auto"/>
      </w:divBdr>
    </w:div>
    <w:div w:id="1189417999">
      <w:bodyDiv w:val="1"/>
      <w:marLeft w:val="0"/>
      <w:marRight w:val="0"/>
      <w:marTop w:val="0"/>
      <w:marBottom w:val="0"/>
      <w:divBdr>
        <w:top w:val="none" w:sz="0" w:space="0" w:color="auto"/>
        <w:left w:val="none" w:sz="0" w:space="0" w:color="auto"/>
        <w:bottom w:val="none" w:sz="0" w:space="0" w:color="auto"/>
        <w:right w:val="none" w:sz="0" w:space="0" w:color="auto"/>
      </w:divBdr>
    </w:div>
    <w:div w:id="1240021279">
      <w:bodyDiv w:val="1"/>
      <w:marLeft w:val="0"/>
      <w:marRight w:val="0"/>
      <w:marTop w:val="0"/>
      <w:marBottom w:val="0"/>
      <w:divBdr>
        <w:top w:val="none" w:sz="0" w:space="0" w:color="auto"/>
        <w:left w:val="none" w:sz="0" w:space="0" w:color="auto"/>
        <w:bottom w:val="none" w:sz="0" w:space="0" w:color="auto"/>
        <w:right w:val="none" w:sz="0" w:space="0" w:color="auto"/>
      </w:divBdr>
    </w:div>
    <w:div w:id="1256015590">
      <w:bodyDiv w:val="1"/>
      <w:marLeft w:val="0"/>
      <w:marRight w:val="0"/>
      <w:marTop w:val="0"/>
      <w:marBottom w:val="0"/>
      <w:divBdr>
        <w:top w:val="none" w:sz="0" w:space="0" w:color="auto"/>
        <w:left w:val="none" w:sz="0" w:space="0" w:color="auto"/>
        <w:bottom w:val="none" w:sz="0" w:space="0" w:color="auto"/>
        <w:right w:val="none" w:sz="0" w:space="0" w:color="auto"/>
      </w:divBdr>
    </w:div>
    <w:div w:id="1273442074">
      <w:bodyDiv w:val="1"/>
      <w:marLeft w:val="0"/>
      <w:marRight w:val="0"/>
      <w:marTop w:val="0"/>
      <w:marBottom w:val="0"/>
      <w:divBdr>
        <w:top w:val="none" w:sz="0" w:space="0" w:color="auto"/>
        <w:left w:val="none" w:sz="0" w:space="0" w:color="auto"/>
        <w:bottom w:val="none" w:sz="0" w:space="0" w:color="auto"/>
        <w:right w:val="none" w:sz="0" w:space="0" w:color="auto"/>
      </w:divBdr>
    </w:div>
    <w:div w:id="1281884716">
      <w:bodyDiv w:val="1"/>
      <w:marLeft w:val="0"/>
      <w:marRight w:val="0"/>
      <w:marTop w:val="0"/>
      <w:marBottom w:val="0"/>
      <w:divBdr>
        <w:top w:val="none" w:sz="0" w:space="0" w:color="auto"/>
        <w:left w:val="none" w:sz="0" w:space="0" w:color="auto"/>
        <w:bottom w:val="none" w:sz="0" w:space="0" w:color="auto"/>
        <w:right w:val="none" w:sz="0" w:space="0" w:color="auto"/>
      </w:divBdr>
    </w:div>
    <w:div w:id="1282810118">
      <w:bodyDiv w:val="1"/>
      <w:marLeft w:val="0"/>
      <w:marRight w:val="0"/>
      <w:marTop w:val="0"/>
      <w:marBottom w:val="0"/>
      <w:divBdr>
        <w:top w:val="none" w:sz="0" w:space="0" w:color="auto"/>
        <w:left w:val="none" w:sz="0" w:space="0" w:color="auto"/>
        <w:bottom w:val="none" w:sz="0" w:space="0" w:color="auto"/>
        <w:right w:val="none" w:sz="0" w:space="0" w:color="auto"/>
      </w:divBdr>
    </w:div>
    <w:div w:id="1283919981">
      <w:bodyDiv w:val="1"/>
      <w:marLeft w:val="0"/>
      <w:marRight w:val="0"/>
      <w:marTop w:val="0"/>
      <w:marBottom w:val="0"/>
      <w:divBdr>
        <w:top w:val="none" w:sz="0" w:space="0" w:color="auto"/>
        <w:left w:val="none" w:sz="0" w:space="0" w:color="auto"/>
        <w:bottom w:val="none" w:sz="0" w:space="0" w:color="auto"/>
        <w:right w:val="none" w:sz="0" w:space="0" w:color="auto"/>
      </w:divBdr>
    </w:div>
    <w:div w:id="1306661539">
      <w:bodyDiv w:val="1"/>
      <w:marLeft w:val="0"/>
      <w:marRight w:val="0"/>
      <w:marTop w:val="0"/>
      <w:marBottom w:val="0"/>
      <w:divBdr>
        <w:top w:val="none" w:sz="0" w:space="0" w:color="auto"/>
        <w:left w:val="none" w:sz="0" w:space="0" w:color="auto"/>
        <w:bottom w:val="none" w:sz="0" w:space="0" w:color="auto"/>
        <w:right w:val="none" w:sz="0" w:space="0" w:color="auto"/>
      </w:divBdr>
    </w:div>
    <w:div w:id="1332222608">
      <w:bodyDiv w:val="1"/>
      <w:marLeft w:val="0"/>
      <w:marRight w:val="0"/>
      <w:marTop w:val="0"/>
      <w:marBottom w:val="0"/>
      <w:divBdr>
        <w:top w:val="none" w:sz="0" w:space="0" w:color="auto"/>
        <w:left w:val="none" w:sz="0" w:space="0" w:color="auto"/>
        <w:bottom w:val="none" w:sz="0" w:space="0" w:color="auto"/>
        <w:right w:val="none" w:sz="0" w:space="0" w:color="auto"/>
      </w:divBdr>
    </w:div>
    <w:div w:id="1352294673">
      <w:bodyDiv w:val="1"/>
      <w:marLeft w:val="0"/>
      <w:marRight w:val="0"/>
      <w:marTop w:val="0"/>
      <w:marBottom w:val="0"/>
      <w:divBdr>
        <w:top w:val="none" w:sz="0" w:space="0" w:color="auto"/>
        <w:left w:val="none" w:sz="0" w:space="0" w:color="auto"/>
        <w:bottom w:val="none" w:sz="0" w:space="0" w:color="auto"/>
        <w:right w:val="none" w:sz="0" w:space="0" w:color="auto"/>
      </w:divBdr>
    </w:div>
    <w:div w:id="1352537325">
      <w:bodyDiv w:val="1"/>
      <w:marLeft w:val="0"/>
      <w:marRight w:val="0"/>
      <w:marTop w:val="0"/>
      <w:marBottom w:val="0"/>
      <w:divBdr>
        <w:top w:val="none" w:sz="0" w:space="0" w:color="auto"/>
        <w:left w:val="none" w:sz="0" w:space="0" w:color="auto"/>
        <w:bottom w:val="none" w:sz="0" w:space="0" w:color="auto"/>
        <w:right w:val="none" w:sz="0" w:space="0" w:color="auto"/>
      </w:divBdr>
    </w:div>
    <w:div w:id="1362394914">
      <w:bodyDiv w:val="1"/>
      <w:marLeft w:val="0"/>
      <w:marRight w:val="0"/>
      <w:marTop w:val="0"/>
      <w:marBottom w:val="0"/>
      <w:divBdr>
        <w:top w:val="none" w:sz="0" w:space="0" w:color="auto"/>
        <w:left w:val="none" w:sz="0" w:space="0" w:color="auto"/>
        <w:bottom w:val="none" w:sz="0" w:space="0" w:color="auto"/>
        <w:right w:val="none" w:sz="0" w:space="0" w:color="auto"/>
      </w:divBdr>
    </w:div>
    <w:div w:id="1383217168">
      <w:bodyDiv w:val="1"/>
      <w:marLeft w:val="0"/>
      <w:marRight w:val="0"/>
      <w:marTop w:val="0"/>
      <w:marBottom w:val="0"/>
      <w:divBdr>
        <w:top w:val="none" w:sz="0" w:space="0" w:color="auto"/>
        <w:left w:val="none" w:sz="0" w:space="0" w:color="auto"/>
        <w:bottom w:val="none" w:sz="0" w:space="0" w:color="auto"/>
        <w:right w:val="none" w:sz="0" w:space="0" w:color="auto"/>
      </w:divBdr>
    </w:div>
    <w:div w:id="1419332322">
      <w:bodyDiv w:val="1"/>
      <w:marLeft w:val="0"/>
      <w:marRight w:val="0"/>
      <w:marTop w:val="0"/>
      <w:marBottom w:val="0"/>
      <w:divBdr>
        <w:top w:val="none" w:sz="0" w:space="0" w:color="auto"/>
        <w:left w:val="none" w:sz="0" w:space="0" w:color="auto"/>
        <w:bottom w:val="none" w:sz="0" w:space="0" w:color="auto"/>
        <w:right w:val="none" w:sz="0" w:space="0" w:color="auto"/>
      </w:divBdr>
    </w:div>
    <w:div w:id="1432358044">
      <w:bodyDiv w:val="1"/>
      <w:marLeft w:val="0"/>
      <w:marRight w:val="0"/>
      <w:marTop w:val="0"/>
      <w:marBottom w:val="0"/>
      <w:divBdr>
        <w:top w:val="none" w:sz="0" w:space="0" w:color="auto"/>
        <w:left w:val="none" w:sz="0" w:space="0" w:color="auto"/>
        <w:bottom w:val="none" w:sz="0" w:space="0" w:color="auto"/>
        <w:right w:val="none" w:sz="0" w:space="0" w:color="auto"/>
      </w:divBdr>
    </w:div>
    <w:div w:id="1435125131">
      <w:bodyDiv w:val="1"/>
      <w:marLeft w:val="0"/>
      <w:marRight w:val="0"/>
      <w:marTop w:val="0"/>
      <w:marBottom w:val="0"/>
      <w:divBdr>
        <w:top w:val="none" w:sz="0" w:space="0" w:color="auto"/>
        <w:left w:val="none" w:sz="0" w:space="0" w:color="auto"/>
        <w:bottom w:val="none" w:sz="0" w:space="0" w:color="auto"/>
        <w:right w:val="none" w:sz="0" w:space="0" w:color="auto"/>
      </w:divBdr>
    </w:div>
    <w:div w:id="1460682138">
      <w:bodyDiv w:val="1"/>
      <w:marLeft w:val="0"/>
      <w:marRight w:val="0"/>
      <w:marTop w:val="0"/>
      <w:marBottom w:val="0"/>
      <w:divBdr>
        <w:top w:val="none" w:sz="0" w:space="0" w:color="auto"/>
        <w:left w:val="none" w:sz="0" w:space="0" w:color="auto"/>
        <w:bottom w:val="none" w:sz="0" w:space="0" w:color="auto"/>
        <w:right w:val="none" w:sz="0" w:space="0" w:color="auto"/>
      </w:divBdr>
    </w:div>
    <w:div w:id="1492212950">
      <w:bodyDiv w:val="1"/>
      <w:marLeft w:val="0"/>
      <w:marRight w:val="0"/>
      <w:marTop w:val="0"/>
      <w:marBottom w:val="0"/>
      <w:divBdr>
        <w:top w:val="none" w:sz="0" w:space="0" w:color="auto"/>
        <w:left w:val="none" w:sz="0" w:space="0" w:color="auto"/>
        <w:bottom w:val="none" w:sz="0" w:space="0" w:color="auto"/>
        <w:right w:val="none" w:sz="0" w:space="0" w:color="auto"/>
      </w:divBdr>
    </w:div>
    <w:div w:id="1540436434">
      <w:bodyDiv w:val="1"/>
      <w:marLeft w:val="0"/>
      <w:marRight w:val="0"/>
      <w:marTop w:val="0"/>
      <w:marBottom w:val="0"/>
      <w:divBdr>
        <w:top w:val="none" w:sz="0" w:space="0" w:color="auto"/>
        <w:left w:val="none" w:sz="0" w:space="0" w:color="auto"/>
        <w:bottom w:val="none" w:sz="0" w:space="0" w:color="auto"/>
        <w:right w:val="none" w:sz="0" w:space="0" w:color="auto"/>
      </w:divBdr>
    </w:div>
    <w:div w:id="1558854699">
      <w:bodyDiv w:val="1"/>
      <w:marLeft w:val="0"/>
      <w:marRight w:val="0"/>
      <w:marTop w:val="0"/>
      <w:marBottom w:val="0"/>
      <w:divBdr>
        <w:top w:val="none" w:sz="0" w:space="0" w:color="auto"/>
        <w:left w:val="none" w:sz="0" w:space="0" w:color="auto"/>
        <w:bottom w:val="none" w:sz="0" w:space="0" w:color="auto"/>
        <w:right w:val="none" w:sz="0" w:space="0" w:color="auto"/>
      </w:divBdr>
    </w:div>
    <w:div w:id="1579946054">
      <w:bodyDiv w:val="1"/>
      <w:marLeft w:val="0"/>
      <w:marRight w:val="0"/>
      <w:marTop w:val="0"/>
      <w:marBottom w:val="0"/>
      <w:divBdr>
        <w:top w:val="none" w:sz="0" w:space="0" w:color="auto"/>
        <w:left w:val="none" w:sz="0" w:space="0" w:color="auto"/>
        <w:bottom w:val="none" w:sz="0" w:space="0" w:color="auto"/>
        <w:right w:val="none" w:sz="0" w:space="0" w:color="auto"/>
      </w:divBdr>
    </w:div>
    <w:div w:id="1591887153">
      <w:bodyDiv w:val="1"/>
      <w:marLeft w:val="0"/>
      <w:marRight w:val="0"/>
      <w:marTop w:val="0"/>
      <w:marBottom w:val="0"/>
      <w:divBdr>
        <w:top w:val="none" w:sz="0" w:space="0" w:color="auto"/>
        <w:left w:val="none" w:sz="0" w:space="0" w:color="auto"/>
        <w:bottom w:val="none" w:sz="0" w:space="0" w:color="auto"/>
        <w:right w:val="none" w:sz="0" w:space="0" w:color="auto"/>
      </w:divBdr>
    </w:div>
    <w:div w:id="1626503324">
      <w:bodyDiv w:val="1"/>
      <w:marLeft w:val="0"/>
      <w:marRight w:val="0"/>
      <w:marTop w:val="0"/>
      <w:marBottom w:val="0"/>
      <w:divBdr>
        <w:top w:val="none" w:sz="0" w:space="0" w:color="auto"/>
        <w:left w:val="none" w:sz="0" w:space="0" w:color="auto"/>
        <w:bottom w:val="none" w:sz="0" w:space="0" w:color="auto"/>
        <w:right w:val="none" w:sz="0" w:space="0" w:color="auto"/>
      </w:divBdr>
    </w:div>
    <w:div w:id="1629698277">
      <w:bodyDiv w:val="1"/>
      <w:marLeft w:val="0"/>
      <w:marRight w:val="0"/>
      <w:marTop w:val="0"/>
      <w:marBottom w:val="0"/>
      <w:divBdr>
        <w:top w:val="none" w:sz="0" w:space="0" w:color="auto"/>
        <w:left w:val="none" w:sz="0" w:space="0" w:color="auto"/>
        <w:bottom w:val="none" w:sz="0" w:space="0" w:color="auto"/>
        <w:right w:val="none" w:sz="0" w:space="0" w:color="auto"/>
      </w:divBdr>
    </w:div>
    <w:div w:id="1630625594">
      <w:bodyDiv w:val="1"/>
      <w:marLeft w:val="0"/>
      <w:marRight w:val="0"/>
      <w:marTop w:val="0"/>
      <w:marBottom w:val="0"/>
      <w:divBdr>
        <w:top w:val="none" w:sz="0" w:space="0" w:color="auto"/>
        <w:left w:val="none" w:sz="0" w:space="0" w:color="auto"/>
        <w:bottom w:val="none" w:sz="0" w:space="0" w:color="auto"/>
        <w:right w:val="none" w:sz="0" w:space="0" w:color="auto"/>
      </w:divBdr>
    </w:div>
    <w:div w:id="1632248791">
      <w:bodyDiv w:val="1"/>
      <w:marLeft w:val="0"/>
      <w:marRight w:val="0"/>
      <w:marTop w:val="0"/>
      <w:marBottom w:val="0"/>
      <w:divBdr>
        <w:top w:val="none" w:sz="0" w:space="0" w:color="auto"/>
        <w:left w:val="none" w:sz="0" w:space="0" w:color="auto"/>
        <w:bottom w:val="none" w:sz="0" w:space="0" w:color="auto"/>
        <w:right w:val="none" w:sz="0" w:space="0" w:color="auto"/>
      </w:divBdr>
    </w:div>
    <w:div w:id="1637879924">
      <w:bodyDiv w:val="1"/>
      <w:marLeft w:val="0"/>
      <w:marRight w:val="0"/>
      <w:marTop w:val="0"/>
      <w:marBottom w:val="0"/>
      <w:divBdr>
        <w:top w:val="none" w:sz="0" w:space="0" w:color="auto"/>
        <w:left w:val="none" w:sz="0" w:space="0" w:color="auto"/>
        <w:bottom w:val="none" w:sz="0" w:space="0" w:color="auto"/>
        <w:right w:val="none" w:sz="0" w:space="0" w:color="auto"/>
      </w:divBdr>
    </w:div>
    <w:div w:id="1650017966">
      <w:bodyDiv w:val="1"/>
      <w:marLeft w:val="0"/>
      <w:marRight w:val="0"/>
      <w:marTop w:val="0"/>
      <w:marBottom w:val="0"/>
      <w:divBdr>
        <w:top w:val="none" w:sz="0" w:space="0" w:color="auto"/>
        <w:left w:val="none" w:sz="0" w:space="0" w:color="auto"/>
        <w:bottom w:val="none" w:sz="0" w:space="0" w:color="auto"/>
        <w:right w:val="none" w:sz="0" w:space="0" w:color="auto"/>
      </w:divBdr>
    </w:div>
    <w:div w:id="1656254988">
      <w:bodyDiv w:val="1"/>
      <w:marLeft w:val="0"/>
      <w:marRight w:val="0"/>
      <w:marTop w:val="0"/>
      <w:marBottom w:val="0"/>
      <w:divBdr>
        <w:top w:val="none" w:sz="0" w:space="0" w:color="auto"/>
        <w:left w:val="none" w:sz="0" w:space="0" w:color="auto"/>
        <w:bottom w:val="none" w:sz="0" w:space="0" w:color="auto"/>
        <w:right w:val="none" w:sz="0" w:space="0" w:color="auto"/>
      </w:divBdr>
    </w:div>
    <w:div w:id="1679191644">
      <w:bodyDiv w:val="1"/>
      <w:marLeft w:val="0"/>
      <w:marRight w:val="0"/>
      <w:marTop w:val="0"/>
      <w:marBottom w:val="0"/>
      <w:divBdr>
        <w:top w:val="none" w:sz="0" w:space="0" w:color="auto"/>
        <w:left w:val="none" w:sz="0" w:space="0" w:color="auto"/>
        <w:bottom w:val="none" w:sz="0" w:space="0" w:color="auto"/>
        <w:right w:val="none" w:sz="0" w:space="0" w:color="auto"/>
      </w:divBdr>
    </w:div>
    <w:div w:id="1725135057">
      <w:bodyDiv w:val="1"/>
      <w:marLeft w:val="0"/>
      <w:marRight w:val="0"/>
      <w:marTop w:val="0"/>
      <w:marBottom w:val="0"/>
      <w:divBdr>
        <w:top w:val="none" w:sz="0" w:space="0" w:color="auto"/>
        <w:left w:val="none" w:sz="0" w:space="0" w:color="auto"/>
        <w:bottom w:val="none" w:sz="0" w:space="0" w:color="auto"/>
        <w:right w:val="none" w:sz="0" w:space="0" w:color="auto"/>
      </w:divBdr>
    </w:div>
    <w:div w:id="1745490434">
      <w:bodyDiv w:val="1"/>
      <w:marLeft w:val="0"/>
      <w:marRight w:val="0"/>
      <w:marTop w:val="0"/>
      <w:marBottom w:val="0"/>
      <w:divBdr>
        <w:top w:val="none" w:sz="0" w:space="0" w:color="auto"/>
        <w:left w:val="none" w:sz="0" w:space="0" w:color="auto"/>
        <w:bottom w:val="none" w:sz="0" w:space="0" w:color="auto"/>
        <w:right w:val="none" w:sz="0" w:space="0" w:color="auto"/>
      </w:divBdr>
    </w:div>
    <w:div w:id="1775249845">
      <w:bodyDiv w:val="1"/>
      <w:marLeft w:val="0"/>
      <w:marRight w:val="0"/>
      <w:marTop w:val="0"/>
      <w:marBottom w:val="0"/>
      <w:divBdr>
        <w:top w:val="none" w:sz="0" w:space="0" w:color="auto"/>
        <w:left w:val="none" w:sz="0" w:space="0" w:color="auto"/>
        <w:bottom w:val="none" w:sz="0" w:space="0" w:color="auto"/>
        <w:right w:val="none" w:sz="0" w:space="0" w:color="auto"/>
      </w:divBdr>
    </w:div>
    <w:div w:id="1778796073">
      <w:bodyDiv w:val="1"/>
      <w:marLeft w:val="0"/>
      <w:marRight w:val="0"/>
      <w:marTop w:val="0"/>
      <w:marBottom w:val="0"/>
      <w:divBdr>
        <w:top w:val="none" w:sz="0" w:space="0" w:color="auto"/>
        <w:left w:val="none" w:sz="0" w:space="0" w:color="auto"/>
        <w:bottom w:val="none" w:sz="0" w:space="0" w:color="auto"/>
        <w:right w:val="none" w:sz="0" w:space="0" w:color="auto"/>
      </w:divBdr>
    </w:div>
    <w:div w:id="1807157662">
      <w:bodyDiv w:val="1"/>
      <w:marLeft w:val="0"/>
      <w:marRight w:val="0"/>
      <w:marTop w:val="0"/>
      <w:marBottom w:val="0"/>
      <w:divBdr>
        <w:top w:val="none" w:sz="0" w:space="0" w:color="auto"/>
        <w:left w:val="none" w:sz="0" w:space="0" w:color="auto"/>
        <w:bottom w:val="none" w:sz="0" w:space="0" w:color="auto"/>
        <w:right w:val="none" w:sz="0" w:space="0" w:color="auto"/>
      </w:divBdr>
    </w:div>
    <w:div w:id="1811284508">
      <w:bodyDiv w:val="1"/>
      <w:marLeft w:val="0"/>
      <w:marRight w:val="0"/>
      <w:marTop w:val="0"/>
      <w:marBottom w:val="0"/>
      <w:divBdr>
        <w:top w:val="none" w:sz="0" w:space="0" w:color="auto"/>
        <w:left w:val="none" w:sz="0" w:space="0" w:color="auto"/>
        <w:bottom w:val="none" w:sz="0" w:space="0" w:color="auto"/>
        <w:right w:val="none" w:sz="0" w:space="0" w:color="auto"/>
      </w:divBdr>
    </w:div>
    <w:div w:id="1812281462">
      <w:bodyDiv w:val="1"/>
      <w:marLeft w:val="0"/>
      <w:marRight w:val="0"/>
      <w:marTop w:val="0"/>
      <w:marBottom w:val="0"/>
      <w:divBdr>
        <w:top w:val="none" w:sz="0" w:space="0" w:color="auto"/>
        <w:left w:val="none" w:sz="0" w:space="0" w:color="auto"/>
        <w:bottom w:val="none" w:sz="0" w:space="0" w:color="auto"/>
        <w:right w:val="none" w:sz="0" w:space="0" w:color="auto"/>
      </w:divBdr>
    </w:div>
    <w:div w:id="1814327784">
      <w:bodyDiv w:val="1"/>
      <w:marLeft w:val="0"/>
      <w:marRight w:val="0"/>
      <w:marTop w:val="0"/>
      <w:marBottom w:val="0"/>
      <w:divBdr>
        <w:top w:val="none" w:sz="0" w:space="0" w:color="auto"/>
        <w:left w:val="none" w:sz="0" w:space="0" w:color="auto"/>
        <w:bottom w:val="none" w:sz="0" w:space="0" w:color="auto"/>
        <w:right w:val="none" w:sz="0" w:space="0" w:color="auto"/>
      </w:divBdr>
    </w:div>
    <w:div w:id="1841583447">
      <w:bodyDiv w:val="1"/>
      <w:marLeft w:val="0"/>
      <w:marRight w:val="0"/>
      <w:marTop w:val="0"/>
      <w:marBottom w:val="0"/>
      <w:divBdr>
        <w:top w:val="none" w:sz="0" w:space="0" w:color="auto"/>
        <w:left w:val="none" w:sz="0" w:space="0" w:color="auto"/>
        <w:bottom w:val="none" w:sz="0" w:space="0" w:color="auto"/>
        <w:right w:val="none" w:sz="0" w:space="0" w:color="auto"/>
      </w:divBdr>
    </w:div>
    <w:div w:id="1844205315">
      <w:bodyDiv w:val="1"/>
      <w:marLeft w:val="0"/>
      <w:marRight w:val="0"/>
      <w:marTop w:val="0"/>
      <w:marBottom w:val="0"/>
      <w:divBdr>
        <w:top w:val="none" w:sz="0" w:space="0" w:color="auto"/>
        <w:left w:val="none" w:sz="0" w:space="0" w:color="auto"/>
        <w:bottom w:val="none" w:sz="0" w:space="0" w:color="auto"/>
        <w:right w:val="none" w:sz="0" w:space="0" w:color="auto"/>
      </w:divBdr>
    </w:div>
    <w:div w:id="1860240296">
      <w:bodyDiv w:val="1"/>
      <w:marLeft w:val="0"/>
      <w:marRight w:val="0"/>
      <w:marTop w:val="0"/>
      <w:marBottom w:val="0"/>
      <w:divBdr>
        <w:top w:val="none" w:sz="0" w:space="0" w:color="auto"/>
        <w:left w:val="none" w:sz="0" w:space="0" w:color="auto"/>
        <w:bottom w:val="none" w:sz="0" w:space="0" w:color="auto"/>
        <w:right w:val="none" w:sz="0" w:space="0" w:color="auto"/>
      </w:divBdr>
    </w:div>
    <w:div w:id="1870218228">
      <w:bodyDiv w:val="1"/>
      <w:marLeft w:val="0"/>
      <w:marRight w:val="0"/>
      <w:marTop w:val="0"/>
      <w:marBottom w:val="0"/>
      <w:divBdr>
        <w:top w:val="none" w:sz="0" w:space="0" w:color="auto"/>
        <w:left w:val="none" w:sz="0" w:space="0" w:color="auto"/>
        <w:bottom w:val="none" w:sz="0" w:space="0" w:color="auto"/>
        <w:right w:val="none" w:sz="0" w:space="0" w:color="auto"/>
      </w:divBdr>
    </w:div>
    <w:div w:id="1879466731">
      <w:bodyDiv w:val="1"/>
      <w:marLeft w:val="0"/>
      <w:marRight w:val="0"/>
      <w:marTop w:val="0"/>
      <w:marBottom w:val="0"/>
      <w:divBdr>
        <w:top w:val="none" w:sz="0" w:space="0" w:color="auto"/>
        <w:left w:val="none" w:sz="0" w:space="0" w:color="auto"/>
        <w:bottom w:val="none" w:sz="0" w:space="0" w:color="auto"/>
        <w:right w:val="none" w:sz="0" w:space="0" w:color="auto"/>
      </w:divBdr>
    </w:div>
    <w:div w:id="1896041934">
      <w:bodyDiv w:val="1"/>
      <w:marLeft w:val="0"/>
      <w:marRight w:val="0"/>
      <w:marTop w:val="0"/>
      <w:marBottom w:val="0"/>
      <w:divBdr>
        <w:top w:val="none" w:sz="0" w:space="0" w:color="auto"/>
        <w:left w:val="none" w:sz="0" w:space="0" w:color="auto"/>
        <w:bottom w:val="none" w:sz="0" w:space="0" w:color="auto"/>
        <w:right w:val="none" w:sz="0" w:space="0" w:color="auto"/>
      </w:divBdr>
    </w:div>
    <w:div w:id="1927375475">
      <w:bodyDiv w:val="1"/>
      <w:marLeft w:val="0"/>
      <w:marRight w:val="0"/>
      <w:marTop w:val="0"/>
      <w:marBottom w:val="0"/>
      <w:divBdr>
        <w:top w:val="none" w:sz="0" w:space="0" w:color="auto"/>
        <w:left w:val="none" w:sz="0" w:space="0" w:color="auto"/>
        <w:bottom w:val="none" w:sz="0" w:space="0" w:color="auto"/>
        <w:right w:val="none" w:sz="0" w:space="0" w:color="auto"/>
      </w:divBdr>
    </w:div>
    <w:div w:id="1945570269">
      <w:bodyDiv w:val="1"/>
      <w:marLeft w:val="0"/>
      <w:marRight w:val="0"/>
      <w:marTop w:val="0"/>
      <w:marBottom w:val="0"/>
      <w:divBdr>
        <w:top w:val="none" w:sz="0" w:space="0" w:color="auto"/>
        <w:left w:val="none" w:sz="0" w:space="0" w:color="auto"/>
        <w:bottom w:val="none" w:sz="0" w:space="0" w:color="auto"/>
        <w:right w:val="none" w:sz="0" w:space="0" w:color="auto"/>
      </w:divBdr>
    </w:div>
    <w:div w:id="1957833717">
      <w:bodyDiv w:val="1"/>
      <w:marLeft w:val="0"/>
      <w:marRight w:val="0"/>
      <w:marTop w:val="0"/>
      <w:marBottom w:val="0"/>
      <w:divBdr>
        <w:top w:val="none" w:sz="0" w:space="0" w:color="auto"/>
        <w:left w:val="none" w:sz="0" w:space="0" w:color="auto"/>
        <w:bottom w:val="none" w:sz="0" w:space="0" w:color="auto"/>
        <w:right w:val="none" w:sz="0" w:space="0" w:color="auto"/>
      </w:divBdr>
    </w:div>
    <w:div w:id="1968849355">
      <w:bodyDiv w:val="1"/>
      <w:marLeft w:val="0"/>
      <w:marRight w:val="0"/>
      <w:marTop w:val="0"/>
      <w:marBottom w:val="0"/>
      <w:divBdr>
        <w:top w:val="none" w:sz="0" w:space="0" w:color="auto"/>
        <w:left w:val="none" w:sz="0" w:space="0" w:color="auto"/>
        <w:bottom w:val="none" w:sz="0" w:space="0" w:color="auto"/>
        <w:right w:val="none" w:sz="0" w:space="0" w:color="auto"/>
      </w:divBdr>
    </w:div>
    <w:div w:id="1980332939">
      <w:bodyDiv w:val="1"/>
      <w:marLeft w:val="0"/>
      <w:marRight w:val="0"/>
      <w:marTop w:val="0"/>
      <w:marBottom w:val="0"/>
      <w:divBdr>
        <w:top w:val="none" w:sz="0" w:space="0" w:color="auto"/>
        <w:left w:val="none" w:sz="0" w:space="0" w:color="auto"/>
        <w:bottom w:val="none" w:sz="0" w:space="0" w:color="auto"/>
        <w:right w:val="none" w:sz="0" w:space="0" w:color="auto"/>
      </w:divBdr>
    </w:div>
    <w:div w:id="1985157387">
      <w:bodyDiv w:val="1"/>
      <w:marLeft w:val="0"/>
      <w:marRight w:val="0"/>
      <w:marTop w:val="0"/>
      <w:marBottom w:val="0"/>
      <w:divBdr>
        <w:top w:val="none" w:sz="0" w:space="0" w:color="auto"/>
        <w:left w:val="none" w:sz="0" w:space="0" w:color="auto"/>
        <w:bottom w:val="none" w:sz="0" w:space="0" w:color="auto"/>
        <w:right w:val="none" w:sz="0" w:space="0" w:color="auto"/>
      </w:divBdr>
    </w:div>
    <w:div w:id="2013802474">
      <w:bodyDiv w:val="1"/>
      <w:marLeft w:val="0"/>
      <w:marRight w:val="0"/>
      <w:marTop w:val="0"/>
      <w:marBottom w:val="0"/>
      <w:divBdr>
        <w:top w:val="none" w:sz="0" w:space="0" w:color="auto"/>
        <w:left w:val="none" w:sz="0" w:space="0" w:color="auto"/>
        <w:bottom w:val="none" w:sz="0" w:space="0" w:color="auto"/>
        <w:right w:val="none" w:sz="0" w:space="0" w:color="auto"/>
      </w:divBdr>
    </w:div>
    <w:div w:id="2078817712">
      <w:bodyDiv w:val="1"/>
      <w:marLeft w:val="0"/>
      <w:marRight w:val="0"/>
      <w:marTop w:val="0"/>
      <w:marBottom w:val="0"/>
      <w:divBdr>
        <w:top w:val="none" w:sz="0" w:space="0" w:color="auto"/>
        <w:left w:val="none" w:sz="0" w:space="0" w:color="auto"/>
        <w:bottom w:val="none" w:sz="0" w:space="0" w:color="auto"/>
        <w:right w:val="none" w:sz="0" w:space="0" w:color="auto"/>
      </w:divBdr>
    </w:div>
    <w:div w:id="2093310126">
      <w:bodyDiv w:val="1"/>
      <w:marLeft w:val="0"/>
      <w:marRight w:val="0"/>
      <w:marTop w:val="0"/>
      <w:marBottom w:val="0"/>
      <w:divBdr>
        <w:top w:val="none" w:sz="0" w:space="0" w:color="auto"/>
        <w:left w:val="none" w:sz="0" w:space="0" w:color="auto"/>
        <w:bottom w:val="none" w:sz="0" w:space="0" w:color="auto"/>
        <w:right w:val="none" w:sz="0" w:space="0" w:color="auto"/>
      </w:divBdr>
    </w:div>
    <w:div w:id="2094357807">
      <w:bodyDiv w:val="1"/>
      <w:marLeft w:val="0"/>
      <w:marRight w:val="0"/>
      <w:marTop w:val="0"/>
      <w:marBottom w:val="0"/>
      <w:divBdr>
        <w:top w:val="none" w:sz="0" w:space="0" w:color="auto"/>
        <w:left w:val="none" w:sz="0" w:space="0" w:color="auto"/>
        <w:bottom w:val="none" w:sz="0" w:space="0" w:color="auto"/>
        <w:right w:val="none" w:sz="0" w:space="0" w:color="auto"/>
      </w:divBdr>
    </w:div>
    <w:div w:id="2127043545">
      <w:bodyDiv w:val="1"/>
      <w:marLeft w:val="0"/>
      <w:marRight w:val="0"/>
      <w:marTop w:val="0"/>
      <w:marBottom w:val="0"/>
      <w:divBdr>
        <w:top w:val="none" w:sz="0" w:space="0" w:color="auto"/>
        <w:left w:val="none" w:sz="0" w:space="0" w:color="auto"/>
        <w:bottom w:val="none" w:sz="0" w:space="0" w:color="auto"/>
        <w:right w:val="none" w:sz="0" w:space="0" w:color="auto"/>
      </w:divBdr>
    </w:div>
    <w:div w:id="2128036508">
      <w:bodyDiv w:val="1"/>
      <w:marLeft w:val="0"/>
      <w:marRight w:val="0"/>
      <w:marTop w:val="0"/>
      <w:marBottom w:val="0"/>
      <w:divBdr>
        <w:top w:val="none" w:sz="0" w:space="0" w:color="auto"/>
        <w:left w:val="none" w:sz="0" w:space="0" w:color="auto"/>
        <w:bottom w:val="none" w:sz="0" w:space="0" w:color="auto"/>
        <w:right w:val="none" w:sz="0" w:space="0" w:color="auto"/>
      </w:divBdr>
    </w:div>
    <w:div w:id="21352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6.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file:///C:\Users\fogunnai\AppData\Local\Microsoft\BUDGET\Budget%202017-18\February%20Cabinet\Final%20report\Final%20Report%20Appendices%20for%20Daksha\V4%20Final%20Budget%20Report%20070217.doc"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mailto:sharon.daniels@harrow.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8.emf"/><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file:///G:\1%20Public\Capital%20programme\2017-18%20to%202019-20\February%20Cabinet\Final%20February%20Cabinet\Appendix%201%20-%2016.17%20Capital%20Programme%20%20restated%20V4%2018.01.17.xlsx"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file:///G:\1%20Public\Capital%20programme\2017-18%20to%202019-20\February%20Cabinet\Final%20February%20Cabinet\Final%20version%20Capital%20Programme%20Feb%202017%20Cabinet.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0226E4B75CFA47B488D2CEFE4DCFDD641E00322D1B544C11E743A5C7D1E5E4FA227D" ma:contentTypeVersion="12" ma:contentTypeDescription="" ma:contentTypeScope="" ma:versionID="4d3bf415faa6f7f70738e8eca47b74d0">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8613bbf3e74375054153f4d0244c0164"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2:Financial_x0020_Date"/>
                <xsd:element ref="ns3:Audience"/>
                <xsd:element ref="ns3:Finance_x0020_Category"/>
                <xsd:element ref="ns3:Repor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 (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Financial_x0020_Date" ma:index="14"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Audience" ma:index="17" ma:displayName="Audience" ma:format="Dropdown" ma:internalName="Audience">
      <xsd:simpleType>
        <xsd:restriction base="dms:Choice">
          <xsd:enumeration value="Cabinet"/>
          <xsd:enumeration value="Council"/>
          <xsd:enumeration value="CSB"/>
        </xsd:restriction>
      </xsd:simpleType>
    </xsd:element>
    <xsd:element name="Finance_x0020_Category" ma:index="18" ma:displayName="Finance Category" ma:format="Dropdown" ma:internalName="Finance_x0020_Category">
      <xsd:simpleType>
        <xsd:restriction base="dms:Choice">
          <xsd:enumeration value="Capital"/>
          <xsd:enumeration value="Revenue"/>
        </xsd:restriction>
      </xsd:simpleType>
    </xsd:element>
    <xsd:element name="Report_x0020_Type" ma:index="19" ma:displayName="Report Type" ma:format="Dropdown" ma:internalName="Report_x0020_Type">
      <xsd:simpleType>
        <xsd:restriction base="dms:Choice">
          <xsd:enumeration value="Budget Build"/>
          <xsd:enumeration value="Budget Monitoring"/>
          <xsd:enumeration value="Fees and Char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Finance_x0020_Category xmlns="21034249-a417-400c-94ae-292fd978b91a">Revenue</Finance_x0020_Category>
    <Report_x0020_Type xmlns="21034249-a417-400c-94ae-292fd978b91a">Budget Monitoring</Report_x0020_Type>
    <Financial_x0020_Date xmlns="e48e9339-ef40-4192-ab59-a15ba5582753">2016-10-31T00:00:00+00:00</Financial_x0020_Date>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 xsi:nil="true"/>
    <Audience xmlns="21034249-a417-400c-94ae-292fd978b91a">Cabinet</Audience>
  </documentManagement>
</p:properties>
</file>

<file path=customXml/item4.xml><?xml version="1.0" encoding="utf-8"?>
<?mso-contentType ?>
<SharedContentType xmlns="Microsoft.SharePoint.Taxonomy.ContentTypeSync" SourceId="b11bda97-64e7-4000-91fd-dcaad77bf85d" ContentTypeId="0x0101000226E4B75CFA47B488D2CEFE4DCFDD641E"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925F-5004-4C23-A8D1-448F06E40D5B}">
  <ds:schemaRefs>
    <ds:schemaRef ds:uri="http://schemas.microsoft.com/sharepoint/v3/contenttype/forms"/>
  </ds:schemaRefs>
</ds:datastoreItem>
</file>

<file path=customXml/itemProps2.xml><?xml version="1.0" encoding="utf-8"?>
<ds:datastoreItem xmlns:ds="http://schemas.openxmlformats.org/officeDocument/2006/customXml" ds:itemID="{E7E2CF59-7F7F-4B44-A644-6AA3B5711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07451-7AD7-43F1-A856-236694DDB346}">
  <ds:schemaRef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purl.org/dc/dcmitype/"/>
    <ds:schemaRef ds:uri="21034249-a417-400c-94ae-292fd978b91a"/>
    <ds:schemaRef ds:uri="http://schemas.openxmlformats.org/package/2006/metadata/core-properties"/>
    <ds:schemaRef ds:uri="http://schemas.microsoft.com/office/infopath/2007/PartnerControls"/>
    <ds:schemaRef ds:uri="e48e9339-ef40-4192-ab59-a15ba5582753"/>
  </ds:schemaRefs>
</ds:datastoreItem>
</file>

<file path=customXml/itemProps4.xml><?xml version="1.0" encoding="utf-8"?>
<ds:datastoreItem xmlns:ds="http://schemas.openxmlformats.org/officeDocument/2006/customXml" ds:itemID="{3245E281-FBE6-46CF-A661-918C14305235}">
  <ds:schemaRefs>
    <ds:schemaRef ds:uri="Microsoft.SharePoint.Taxonomy.ContentTypeSync"/>
  </ds:schemaRefs>
</ds:datastoreItem>
</file>

<file path=customXml/itemProps5.xml><?xml version="1.0" encoding="utf-8"?>
<ds:datastoreItem xmlns:ds="http://schemas.openxmlformats.org/officeDocument/2006/customXml" ds:itemID="{F775A951-E832-4A30-B42C-915DCFC4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6943</Words>
  <Characters>38062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44916</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Daksha Ghelani</cp:lastModifiedBy>
  <cp:revision>7</cp:revision>
  <cp:lastPrinted>2018-02-02T16:02:00Z</cp:lastPrinted>
  <dcterms:created xsi:type="dcterms:W3CDTF">2018-02-05T11:57:00Z</dcterms:created>
  <dcterms:modified xsi:type="dcterms:W3CDTF">2018-02-06T10:01:00Z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0x0101000226E4B75CFA47B488D2CEFE4DCFDD641E00322D1B544C11E743A5C7D1E5E4FA227D</vt:lpwstr>
  </property>
  <property fmtid="{D5CDD505-2E9C-101B-9397-08002B2CF9AE}" pid="3" name="TaxKeyword">
    <vt:lpwstr/>
  </property>
</Properties>
</file>